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DA0F" w14:textId="6F9F7663" w:rsidR="006E1DF9" w:rsidRDefault="00AF204F" w:rsidP="00205AB4">
      <w:pPr>
        <w:widowControl w:val="0"/>
        <w:autoSpaceDE w:val="0"/>
        <w:autoSpaceDN w:val="0"/>
        <w:adjustRightInd w:val="0"/>
        <w:spacing w:before="98"/>
        <w:ind w:right="-20"/>
        <w:rPr>
          <w:lang w:val="en-US"/>
        </w:rPr>
      </w:pPr>
      <w:r>
        <w:rPr>
          <w:noProof/>
          <w:lang w:eastAsia="en-GB"/>
        </w:rPr>
        <w:drawing>
          <wp:inline distT="0" distB="0" distL="0" distR="0" wp14:anchorId="538DB032" wp14:editId="4433856A">
            <wp:extent cx="2933700" cy="755650"/>
            <wp:effectExtent l="0" t="0" r="0" b="6350"/>
            <wp:docPr id="2" name="Picture 2" descr="LJM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JMU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6111" cy="756271"/>
                    </a:xfrm>
                    <a:prstGeom prst="rect">
                      <a:avLst/>
                    </a:prstGeom>
                  </pic:spPr>
                </pic:pic>
              </a:graphicData>
            </a:graphic>
          </wp:inline>
        </w:drawing>
      </w:r>
    </w:p>
    <w:p w14:paraId="4F56DA10" w14:textId="0D8E9E61" w:rsidR="006E1DF9" w:rsidRDefault="006E1DF9">
      <w:pPr>
        <w:widowControl w:val="0"/>
        <w:autoSpaceDE w:val="0"/>
        <w:autoSpaceDN w:val="0"/>
        <w:adjustRightInd w:val="0"/>
        <w:spacing w:line="200" w:lineRule="exact"/>
        <w:rPr>
          <w:lang w:val="en-US"/>
        </w:rPr>
      </w:pPr>
    </w:p>
    <w:p w14:paraId="335EABB5" w14:textId="77777777" w:rsidR="00AF204F" w:rsidRDefault="00AF204F">
      <w:pPr>
        <w:widowControl w:val="0"/>
        <w:autoSpaceDE w:val="0"/>
        <w:autoSpaceDN w:val="0"/>
        <w:adjustRightInd w:val="0"/>
        <w:spacing w:line="200" w:lineRule="exact"/>
        <w:rPr>
          <w:lang w:val="en-US"/>
        </w:rPr>
      </w:pP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BA5EC8" w:rsidRPr="00BA5EC8" w14:paraId="4F56DA12" w14:textId="77777777" w:rsidTr="00205AB4">
        <w:trPr>
          <w:cantSplit/>
          <w:trHeight w:hRule="exact" w:val="1491"/>
        </w:trPr>
        <w:tc>
          <w:tcPr>
            <w:tcW w:w="9351" w:type="dxa"/>
            <w:shd w:val="clear" w:color="auto" w:fill="D9D9D9"/>
            <w:vAlign w:val="center"/>
          </w:tcPr>
          <w:p w14:paraId="4F56DA11" w14:textId="71EBA62E" w:rsidR="00BA5EC8" w:rsidRPr="00BA5EC8" w:rsidRDefault="0016041B" w:rsidP="008D5950">
            <w:pPr>
              <w:widowControl w:val="0"/>
              <w:tabs>
                <w:tab w:val="left" w:pos="4536"/>
              </w:tabs>
              <w:autoSpaceDE w:val="0"/>
              <w:autoSpaceDN w:val="0"/>
              <w:adjustRightInd w:val="0"/>
              <w:spacing w:before="240" w:after="240"/>
              <w:jc w:val="center"/>
              <w:rPr>
                <w:rFonts w:cs="Arial"/>
                <w:b/>
                <w:sz w:val="40"/>
                <w:szCs w:val="40"/>
                <w:lang w:val="en-US"/>
              </w:rPr>
            </w:pPr>
            <w:r>
              <w:rPr>
                <w:rFonts w:cs="Arial"/>
                <w:b/>
                <w:sz w:val="40"/>
                <w:szCs w:val="40"/>
                <w:lang w:val="en-US"/>
              </w:rPr>
              <w:t>Tuition Fee Policy</w:t>
            </w:r>
          </w:p>
        </w:tc>
      </w:tr>
    </w:tbl>
    <w:p w14:paraId="4F56DA13" w14:textId="77777777" w:rsidR="00CE6E2D" w:rsidRDefault="00CE6E2D"/>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1A00A2" w:rsidRPr="00D515EC" w14:paraId="4F56DA16" w14:textId="77777777" w:rsidTr="00350BA1">
        <w:trPr>
          <w:trHeight w:val="510"/>
        </w:trPr>
        <w:tc>
          <w:tcPr>
            <w:tcW w:w="4111" w:type="dxa"/>
            <w:shd w:val="clear" w:color="auto" w:fill="D9D9D9"/>
          </w:tcPr>
          <w:p w14:paraId="4F56DA14"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Responsibility for Policy:</w:t>
            </w:r>
          </w:p>
        </w:tc>
        <w:tc>
          <w:tcPr>
            <w:tcW w:w="5240" w:type="dxa"/>
          </w:tcPr>
          <w:p w14:paraId="4F56DA15" w14:textId="07E03818" w:rsidR="001A00A2" w:rsidRPr="003D67FF" w:rsidRDefault="001A00A2" w:rsidP="00350BA1">
            <w:pPr>
              <w:widowControl w:val="0"/>
              <w:tabs>
                <w:tab w:val="left" w:pos="4536"/>
              </w:tabs>
              <w:autoSpaceDE w:val="0"/>
              <w:autoSpaceDN w:val="0"/>
              <w:adjustRightInd w:val="0"/>
              <w:contextualSpacing/>
              <w:rPr>
                <w:rFonts w:cs="Arial"/>
                <w:sz w:val="24"/>
                <w:szCs w:val="24"/>
                <w:lang w:val="en-US"/>
              </w:rPr>
            </w:pPr>
            <w:r w:rsidRPr="003D67FF">
              <w:rPr>
                <w:rFonts w:cs="Arial"/>
                <w:sz w:val="24"/>
                <w:szCs w:val="24"/>
                <w:lang w:val="en-US"/>
              </w:rPr>
              <w:t>Regis</w:t>
            </w:r>
            <w:r w:rsidR="00FF3773" w:rsidRPr="003D67FF">
              <w:rPr>
                <w:rFonts w:cs="Arial"/>
                <w:sz w:val="24"/>
                <w:szCs w:val="24"/>
                <w:lang w:val="en-US"/>
              </w:rPr>
              <w:t xml:space="preserve">trar and </w:t>
            </w:r>
            <w:r w:rsidR="000679FB">
              <w:rPr>
                <w:rFonts w:cs="Arial"/>
                <w:sz w:val="24"/>
                <w:szCs w:val="24"/>
                <w:lang w:val="en-US"/>
              </w:rPr>
              <w:t>Chief Operating Officer</w:t>
            </w:r>
          </w:p>
        </w:tc>
      </w:tr>
      <w:tr w:rsidR="001A00A2" w:rsidRPr="00D515EC" w14:paraId="4F56DA1A" w14:textId="77777777" w:rsidTr="00350BA1">
        <w:trPr>
          <w:trHeight w:val="510"/>
        </w:trPr>
        <w:tc>
          <w:tcPr>
            <w:tcW w:w="4111" w:type="dxa"/>
            <w:shd w:val="clear" w:color="auto" w:fill="D9D9D9"/>
          </w:tcPr>
          <w:p w14:paraId="4F56DA17"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Relevant to:</w:t>
            </w:r>
          </w:p>
        </w:tc>
        <w:tc>
          <w:tcPr>
            <w:tcW w:w="5240" w:type="dxa"/>
          </w:tcPr>
          <w:p w14:paraId="31CBCE09" w14:textId="77777777" w:rsidR="007301A6" w:rsidRPr="00363DF1" w:rsidRDefault="007301A6" w:rsidP="005403B0">
            <w:pPr>
              <w:rPr>
                <w:rFonts w:cs="Arial"/>
              </w:rPr>
            </w:pPr>
            <w:r>
              <w:rPr>
                <w:rFonts w:cs="Arial"/>
                <w:i/>
                <w:iCs/>
                <w:sz w:val="24"/>
                <w:szCs w:val="24"/>
                <w:lang w:val="en-US"/>
              </w:rPr>
              <w:t xml:space="preserve">All LJMU Staff and Students </w:t>
            </w:r>
            <w:r w:rsidRPr="00363DF1">
              <w:rPr>
                <w:rFonts w:cs="Arial"/>
                <w:i/>
                <w:iCs/>
                <w:sz w:val="24"/>
                <w:szCs w:val="24"/>
                <w:lang w:val="en-US"/>
              </w:rPr>
              <w:t xml:space="preserve">and academic partnership arrangements where the students pay LJMU directly.  This does not include any Academic Partnerships where the students pay their fees to the partner </w:t>
            </w:r>
            <w:proofErr w:type="spellStart"/>
            <w:r w:rsidRPr="00363DF1">
              <w:rPr>
                <w:rFonts w:cs="Arial"/>
                <w:i/>
                <w:iCs/>
                <w:sz w:val="24"/>
                <w:szCs w:val="24"/>
                <w:lang w:val="en-US"/>
              </w:rPr>
              <w:t>organisation</w:t>
            </w:r>
            <w:proofErr w:type="spellEnd"/>
            <w:r w:rsidRPr="00363DF1">
              <w:rPr>
                <w:rFonts w:cs="Arial"/>
                <w:i/>
                <w:iCs/>
                <w:sz w:val="24"/>
                <w:szCs w:val="24"/>
                <w:lang w:val="en-US"/>
              </w:rPr>
              <w:t xml:space="preserve">. </w:t>
            </w:r>
          </w:p>
          <w:p w14:paraId="16F57239" w14:textId="77777777" w:rsidR="007301A6" w:rsidRPr="00363DF1" w:rsidRDefault="007301A6" w:rsidP="005403B0">
            <w:pPr>
              <w:widowControl w:val="0"/>
              <w:tabs>
                <w:tab w:val="left" w:pos="4420"/>
              </w:tabs>
              <w:autoSpaceDE w:val="0"/>
              <w:autoSpaceDN w:val="0"/>
              <w:adjustRightInd w:val="0"/>
              <w:ind w:right="-20"/>
              <w:contextualSpacing/>
              <w:rPr>
                <w:rFonts w:cs="Arial"/>
                <w:spacing w:val="-1"/>
                <w:sz w:val="24"/>
                <w:szCs w:val="24"/>
                <w:lang w:val="en-US"/>
              </w:rPr>
            </w:pPr>
          </w:p>
          <w:p w14:paraId="4F56DA19" w14:textId="20CF22D1" w:rsidR="00350BA1" w:rsidRPr="003D67FF" w:rsidRDefault="00350BA1" w:rsidP="005403B0">
            <w:pPr>
              <w:widowControl w:val="0"/>
              <w:tabs>
                <w:tab w:val="left" w:pos="4420"/>
              </w:tabs>
              <w:autoSpaceDE w:val="0"/>
              <w:autoSpaceDN w:val="0"/>
              <w:adjustRightInd w:val="0"/>
              <w:ind w:right="-20"/>
              <w:contextualSpacing/>
              <w:rPr>
                <w:rFonts w:cs="Arial"/>
                <w:sz w:val="24"/>
                <w:szCs w:val="24"/>
                <w:lang w:val="en-US"/>
              </w:rPr>
            </w:pPr>
          </w:p>
        </w:tc>
      </w:tr>
      <w:tr w:rsidR="001A00A2" w:rsidRPr="00D515EC" w14:paraId="4F56DA1D" w14:textId="77777777" w:rsidTr="00350BA1">
        <w:trPr>
          <w:trHeight w:val="510"/>
        </w:trPr>
        <w:tc>
          <w:tcPr>
            <w:tcW w:w="4111" w:type="dxa"/>
            <w:shd w:val="clear" w:color="auto" w:fill="D9D9D9"/>
          </w:tcPr>
          <w:p w14:paraId="4F56DA1B"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 xml:space="preserve">Approved by: </w:t>
            </w:r>
          </w:p>
        </w:tc>
        <w:tc>
          <w:tcPr>
            <w:tcW w:w="5240" w:type="dxa"/>
          </w:tcPr>
          <w:p w14:paraId="14AAB98C" w14:textId="34E348A1" w:rsidR="001A00A2" w:rsidRPr="003D67FF" w:rsidRDefault="001A00A2" w:rsidP="00350BA1">
            <w:pPr>
              <w:widowControl w:val="0"/>
              <w:tabs>
                <w:tab w:val="left" w:pos="4536"/>
              </w:tabs>
              <w:autoSpaceDE w:val="0"/>
              <w:autoSpaceDN w:val="0"/>
              <w:adjustRightInd w:val="0"/>
              <w:contextualSpacing/>
              <w:rPr>
                <w:rFonts w:cs="Arial"/>
                <w:sz w:val="24"/>
                <w:szCs w:val="24"/>
                <w:lang w:val="en-US"/>
              </w:rPr>
            </w:pPr>
            <w:r w:rsidRPr="003D67FF">
              <w:rPr>
                <w:rFonts w:cs="Arial"/>
                <w:sz w:val="24"/>
                <w:szCs w:val="24"/>
                <w:lang w:val="en-US"/>
              </w:rPr>
              <w:t>Registrar and Deputy Chief Executive</w:t>
            </w:r>
            <w:r w:rsidR="00FF3773" w:rsidRPr="003D67FF">
              <w:rPr>
                <w:rFonts w:cs="Arial"/>
                <w:sz w:val="24"/>
                <w:szCs w:val="24"/>
                <w:lang w:val="en-US"/>
              </w:rPr>
              <w:t xml:space="preserve"> - </w:t>
            </w:r>
            <w:r w:rsidR="00350BA1" w:rsidRPr="003D67FF">
              <w:rPr>
                <w:rFonts w:cs="Arial"/>
                <w:sz w:val="24"/>
                <w:szCs w:val="24"/>
                <w:lang w:val="en-US"/>
              </w:rPr>
              <w:t>May 2014</w:t>
            </w:r>
            <w:r w:rsidR="00211BCF">
              <w:rPr>
                <w:rFonts w:cs="Arial"/>
                <w:sz w:val="24"/>
                <w:szCs w:val="24"/>
                <w:lang w:val="en-US"/>
              </w:rPr>
              <w:t>, Fee Setting Working Group - May 2018, June 2019</w:t>
            </w:r>
            <w:r w:rsidR="009D3C04">
              <w:rPr>
                <w:rFonts w:cs="Arial"/>
                <w:sz w:val="24"/>
                <w:szCs w:val="24"/>
                <w:lang w:val="en-US"/>
              </w:rPr>
              <w:t xml:space="preserve">, </w:t>
            </w:r>
            <w:r w:rsidR="0010053A">
              <w:rPr>
                <w:rFonts w:cs="Arial"/>
                <w:sz w:val="24"/>
                <w:szCs w:val="24"/>
                <w:lang w:val="en-US"/>
              </w:rPr>
              <w:t>APFP – July 2023, June 2024</w:t>
            </w:r>
          </w:p>
          <w:p w14:paraId="4F56DA1C" w14:textId="2DC67C64" w:rsidR="00350BA1" w:rsidRPr="003D67FF" w:rsidRDefault="00350BA1">
            <w:pPr>
              <w:widowControl w:val="0"/>
              <w:tabs>
                <w:tab w:val="left" w:pos="4536"/>
              </w:tabs>
              <w:autoSpaceDE w:val="0"/>
              <w:autoSpaceDN w:val="0"/>
              <w:adjustRightInd w:val="0"/>
              <w:contextualSpacing/>
              <w:rPr>
                <w:rFonts w:cs="Arial"/>
                <w:sz w:val="24"/>
                <w:szCs w:val="24"/>
                <w:lang w:val="en-US"/>
              </w:rPr>
            </w:pPr>
          </w:p>
        </w:tc>
      </w:tr>
      <w:tr w:rsidR="001A00A2" w:rsidRPr="00D515EC" w14:paraId="4F56DA20" w14:textId="77777777" w:rsidTr="00350BA1">
        <w:trPr>
          <w:trHeight w:val="510"/>
        </w:trPr>
        <w:tc>
          <w:tcPr>
            <w:tcW w:w="4111" w:type="dxa"/>
            <w:shd w:val="clear" w:color="auto" w:fill="D9D9D9"/>
          </w:tcPr>
          <w:p w14:paraId="1ED56031" w14:textId="77777777" w:rsidR="001A00A2"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Responsibility for Document Review:</w:t>
            </w:r>
          </w:p>
          <w:p w14:paraId="4F56DA1E" w14:textId="1086CF8F" w:rsidR="00A11AB3" w:rsidRPr="00D515EC" w:rsidRDefault="00A11AB3" w:rsidP="00350BA1">
            <w:pPr>
              <w:widowControl w:val="0"/>
              <w:tabs>
                <w:tab w:val="left" w:pos="4536"/>
              </w:tabs>
              <w:autoSpaceDE w:val="0"/>
              <w:autoSpaceDN w:val="0"/>
              <w:adjustRightInd w:val="0"/>
              <w:contextualSpacing/>
              <w:rPr>
                <w:rFonts w:cs="Arial"/>
                <w:b/>
                <w:sz w:val="24"/>
                <w:szCs w:val="24"/>
                <w:lang w:val="en-US"/>
              </w:rPr>
            </w:pPr>
          </w:p>
        </w:tc>
        <w:tc>
          <w:tcPr>
            <w:tcW w:w="5240" w:type="dxa"/>
          </w:tcPr>
          <w:p w14:paraId="4F56DA1F" w14:textId="1048C2D2" w:rsidR="001A00A2" w:rsidRPr="003D67FF" w:rsidRDefault="001A00A2" w:rsidP="00211BCF">
            <w:pPr>
              <w:widowControl w:val="0"/>
              <w:tabs>
                <w:tab w:val="left" w:pos="4536"/>
              </w:tabs>
              <w:autoSpaceDE w:val="0"/>
              <w:autoSpaceDN w:val="0"/>
              <w:adjustRightInd w:val="0"/>
              <w:contextualSpacing/>
              <w:rPr>
                <w:rFonts w:cs="Arial"/>
                <w:sz w:val="24"/>
                <w:szCs w:val="24"/>
                <w:lang w:val="en-US"/>
              </w:rPr>
            </w:pPr>
            <w:r w:rsidRPr="003D67FF">
              <w:rPr>
                <w:rFonts w:cs="Arial"/>
                <w:sz w:val="24"/>
                <w:szCs w:val="24"/>
                <w:lang w:val="en-US"/>
              </w:rPr>
              <w:t xml:space="preserve">Head of </w:t>
            </w:r>
            <w:r w:rsidR="00211BCF">
              <w:rPr>
                <w:rFonts w:cs="Arial"/>
                <w:sz w:val="24"/>
                <w:szCs w:val="24"/>
                <w:lang w:val="en-US"/>
              </w:rPr>
              <w:t xml:space="preserve">Registry </w:t>
            </w:r>
            <w:r w:rsidRPr="003D67FF">
              <w:rPr>
                <w:rFonts w:cs="Arial"/>
                <w:sz w:val="24"/>
                <w:szCs w:val="24"/>
                <w:lang w:val="en-US"/>
              </w:rPr>
              <w:t>Services</w:t>
            </w:r>
            <w:r w:rsidR="00737475">
              <w:rPr>
                <w:rFonts w:cs="Arial"/>
                <w:sz w:val="24"/>
                <w:szCs w:val="24"/>
                <w:lang w:val="en-US"/>
              </w:rPr>
              <w:t xml:space="preserve"> and </w:t>
            </w:r>
            <w:r w:rsidR="008E5611">
              <w:rPr>
                <w:rFonts w:cs="Arial"/>
                <w:sz w:val="24"/>
                <w:szCs w:val="24"/>
                <w:lang w:val="en-US"/>
              </w:rPr>
              <w:t>Student Records Manager</w:t>
            </w:r>
            <w:r w:rsidRPr="003D67FF">
              <w:rPr>
                <w:rFonts w:cs="Arial"/>
                <w:sz w:val="24"/>
                <w:szCs w:val="24"/>
                <w:lang w:val="en-US"/>
              </w:rPr>
              <w:t xml:space="preserve"> </w:t>
            </w:r>
          </w:p>
        </w:tc>
      </w:tr>
      <w:tr w:rsidR="001A00A2" w:rsidRPr="00D515EC" w14:paraId="4F56DA23" w14:textId="77777777" w:rsidTr="00350BA1">
        <w:trPr>
          <w:trHeight w:val="510"/>
        </w:trPr>
        <w:tc>
          <w:tcPr>
            <w:tcW w:w="4111" w:type="dxa"/>
            <w:shd w:val="clear" w:color="auto" w:fill="D9D9D9"/>
          </w:tcPr>
          <w:p w14:paraId="4F56DA21"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Date introduced:</w:t>
            </w:r>
          </w:p>
        </w:tc>
        <w:tc>
          <w:tcPr>
            <w:tcW w:w="5240" w:type="dxa"/>
          </w:tcPr>
          <w:p w14:paraId="4F56DA22" w14:textId="12C11867" w:rsidR="001A00A2" w:rsidRPr="003D67FF" w:rsidRDefault="00211BCF" w:rsidP="00211BCF">
            <w:pPr>
              <w:widowControl w:val="0"/>
              <w:tabs>
                <w:tab w:val="left" w:pos="4536"/>
              </w:tabs>
              <w:autoSpaceDE w:val="0"/>
              <w:autoSpaceDN w:val="0"/>
              <w:adjustRightInd w:val="0"/>
              <w:contextualSpacing/>
              <w:rPr>
                <w:rFonts w:cs="Arial"/>
                <w:sz w:val="24"/>
                <w:szCs w:val="24"/>
                <w:lang w:val="en-US"/>
              </w:rPr>
            </w:pPr>
            <w:r>
              <w:rPr>
                <w:rFonts w:cs="Arial"/>
                <w:sz w:val="24"/>
                <w:szCs w:val="24"/>
                <w:lang w:val="en-US"/>
              </w:rPr>
              <w:t>May</w:t>
            </w:r>
            <w:r w:rsidR="00350BA1" w:rsidRPr="003D67FF">
              <w:rPr>
                <w:rFonts w:cs="Arial"/>
                <w:sz w:val="24"/>
                <w:szCs w:val="24"/>
                <w:lang w:val="en-US"/>
              </w:rPr>
              <w:t xml:space="preserve"> 2002</w:t>
            </w:r>
          </w:p>
        </w:tc>
      </w:tr>
      <w:tr w:rsidR="001A00A2" w:rsidRPr="00D515EC" w14:paraId="4F56DA26" w14:textId="77777777" w:rsidTr="00350BA1">
        <w:trPr>
          <w:trHeight w:val="510"/>
        </w:trPr>
        <w:tc>
          <w:tcPr>
            <w:tcW w:w="4111" w:type="dxa"/>
            <w:shd w:val="clear" w:color="auto" w:fill="D9D9D9"/>
          </w:tcPr>
          <w:p w14:paraId="4F56DA24"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Date(s) modified:</w:t>
            </w:r>
          </w:p>
        </w:tc>
        <w:tc>
          <w:tcPr>
            <w:tcW w:w="5240" w:type="dxa"/>
          </w:tcPr>
          <w:p w14:paraId="45AE2C27" w14:textId="6B7A20ED" w:rsidR="001A00A2" w:rsidRDefault="00350BA1" w:rsidP="00350BA1">
            <w:pPr>
              <w:widowControl w:val="0"/>
              <w:tabs>
                <w:tab w:val="left" w:pos="4536"/>
              </w:tabs>
              <w:autoSpaceDE w:val="0"/>
              <w:autoSpaceDN w:val="0"/>
              <w:adjustRightInd w:val="0"/>
              <w:contextualSpacing/>
              <w:rPr>
                <w:rFonts w:cs="Arial"/>
                <w:sz w:val="24"/>
                <w:szCs w:val="24"/>
                <w:lang w:val="en-US"/>
              </w:rPr>
            </w:pPr>
            <w:r w:rsidRPr="003D67FF">
              <w:rPr>
                <w:rFonts w:cs="Arial"/>
                <w:sz w:val="24"/>
                <w:szCs w:val="24"/>
                <w:lang w:val="en-US"/>
              </w:rPr>
              <w:t>May 2014</w:t>
            </w:r>
            <w:r w:rsidR="003D67FF" w:rsidRPr="003D67FF">
              <w:rPr>
                <w:rFonts w:cs="Arial"/>
                <w:sz w:val="24"/>
                <w:szCs w:val="24"/>
                <w:lang w:val="en-US"/>
              </w:rPr>
              <w:t>, September 2016</w:t>
            </w:r>
            <w:r w:rsidR="00066A3F">
              <w:rPr>
                <w:rFonts w:cs="Arial"/>
                <w:sz w:val="24"/>
                <w:szCs w:val="24"/>
                <w:lang w:val="en-US"/>
              </w:rPr>
              <w:t>, May 2017</w:t>
            </w:r>
            <w:r w:rsidR="00A11AB3">
              <w:rPr>
                <w:rFonts w:cs="Arial"/>
                <w:sz w:val="24"/>
                <w:szCs w:val="24"/>
                <w:lang w:val="en-US"/>
              </w:rPr>
              <w:t>, May 2018</w:t>
            </w:r>
            <w:r w:rsidR="002D2715">
              <w:rPr>
                <w:rFonts w:cs="Arial"/>
                <w:sz w:val="24"/>
                <w:szCs w:val="24"/>
                <w:lang w:val="en-US"/>
              </w:rPr>
              <w:t xml:space="preserve">, </w:t>
            </w:r>
            <w:r w:rsidR="005449A2">
              <w:rPr>
                <w:rFonts w:cs="Arial"/>
                <w:sz w:val="24"/>
                <w:szCs w:val="24"/>
                <w:lang w:val="en-US"/>
              </w:rPr>
              <w:t>July 2020</w:t>
            </w:r>
            <w:r w:rsidR="003C44D4">
              <w:rPr>
                <w:rFonts w:cs="Arial"/>
                <w:sz w:val="24"/>
                <w:szCs w:val="24"/>
                <w:lang w:val="en-US"/>
              </w:rPr>
              <w:t>, July 2021</w:t>
            </w:r>
            <w:r w:rsidR="00D95EA5">
              <w:rPr>
                <w:rFonts w:cs="Arial"/>
                <w:sz w:val="24"/>
                <w:szCs w:val="24"/>
                <w:lang w:val="en-US"/>
              </w:rPr>
              <w:t>, July 2022</w:t>
            </w:r>
            <w:r w:rsidR="00BC76A1">
              <w:rPr>
                <w:rFonts w:cs="Arial"/>
                <w:sz w:val="24"/>
                <w:szCs w:val="24"/>
                <w:lang w:val="en-US"/>
              </w:rPr>
              <w:t>, July 2023</w:t>
            </w:r>
            <w:r w:rsidR="00625BB4">
              <w:rPr>
                <w:rFonts w:cs="Arial"/>
                <w:sz w:val="24"/>
                <w:szCs w:val="24"/>
                <w:lang w:val="en-US"/>
              </w:rPr>
              <w:t>,</w:t>
            </w:r>
            <w:r w:rsidR="00F35C74">
              <w:rPr>
                <w:rFonts w:cs="Arial"/>
                <w:sz w:val="24"/>
                <w:szCs w:val="24"/>
                <w:lang w:val="en-US"/>
              </w:rPr>
              <w:t xml:space="preserve"> June 2024</w:t>
            </w:r>
          </w:p>
          <w:p w14:paraId="4F56DA25" w14:textId="6426F5BC" w:rsidR="00A11AB3" w:rsidRPr="003D67FF" w:rsidRDefault="00A11AB3" w:rsidP="00350BA1">
            <w:pPr>
              <w:widowControl w:val="0"/>
              <w:tabs>
                <w:tab w:val="left" w:pos="4536"/>
              </w:tabs>
              <w:autoSpaceDE w:val="0"/>
              <w:autoSpaceDN w:val="0"/>
              <w:adjustRightInd w:val="0"/>
              <w:contextualSpacing/>
              <w:rPr>
                <w:rFonts w:cs="Arial"/>
                <w:sz w:val="24"/>
                <w:szCs w:val="24"/>
                <w:lang w:val="en-US"/>
              </w:rPr>
            </w:pPr>
          </w:p>
        </w:tc>
      </w:tr>
      <w:tr w:rsidR="001A00A2" w:rsidRPr="00D515EC" w14:paraId="4F56DA29" w14:textId="77777777" w:rsidTr="00350BA1">
        <w:trPr>
          <w:trHeight w:val="510"/>
        </w:trPr>
        <w:tc>
          <w:tcPr>
            <w:tcW w:w="4111" w:type="dxa"/>
            <w:shd w:val="clear" w:color="auto" w:fill="D9D9D9"/>
          </w:tcPr>
          <w:p w14:paraId="4F56DA27" w14:textId="77777777" w:rsidR="001A00A2" w:rsidRPr="00D515EC" w:rsidRDefault="001A00A2" w:rsidP="00350BA1">
            <w:pPr>
              <w:widowControl w:val="0"/>
              <w:tabs>
                <w:tab w:val="left" w:pos="4536"/>
              </w:tabs>
              <w:autoSpaceDE w:val="0"/>
              <w:autoSpaceDN w:val="0"/>
              <w:adjustRightInd w:val="0"/>
              <w:contextualSpacing/>
              <w:rPr>
                <w:rFonts w:cs="Arial"/>
                <w:b/>
                <w:sz w:val="24"/>
                <w:szCs w:val="24"/>
                <w:lang w:val="en-US"/>
              </w:rPr>
            </w:pPr>
            <w:r w:rsidRPr="00D515EC">
              <w:rPr>
                <w:rFonts w:cs="Arial"/>
                <w:b/>
                <w:sz w:val="24"/>
                <w:szCs w:val="24"/>
                <w:lang w:val="en-US"/>
              </w:rPr>
              <w:t>Next Review Date:</w:t>
            </w:r>
          </w:p>
        </w:tc>
        <w:tc>
          <w:tcPr>
            <w:tcW w:w="5240" w:type="dxa"/>
          </w:tcPr>
          <w:p w14:paraId="4F56DA28" w14:textId="48900F40" w:rsidR="001A00A2" w:rsidRPr="003D67FF" w:rsidRDefault="005449A2" w:rsidP="005449A2">
            <w:pPr>
              <w:widowControl w:val="0"/>
              <w:tabs>
                <w:tab w:val="left" w:pos="4536"/>
              </w:tabs>
              <w:autoSpaceDE w:val="0"/>
              <w:autoSpaceDN w:val="0"/>
              <w:adjustRightInd w:val="0"/>
              <w:contextualSpacing/>
              <w:rPr>
                <w:rFonts w:cs="Arial"/>
                <w:sz w:val="24"/>
                <w:szCs w:val="24"/>
                <w:lang w:val="en-US"/>
              </w:rPr>
            </w:pPr>
            <w:r>
              <w:rPr>
                <w:rFonts w:cs="Arial"/>
                <w:sz w:val="24"/>
                <w:szCs w:val="24"/>
                <w:lang w:val="en-US"/>
              </w:rPr>
              <w:t xml:space="preserve">May </w:t>
            </w:r>
            <w:r w:rsidR="003C44D4">
              <w:rPr>
                <w:rFonts w:cs="Arial"/>
                <w:sz w:val="24"/>
                <w:szCs w:val="24"/>
                <w:lang w:val="en-US"/>
              </w:rPr>
              <w:t>20</w:t>
            </w:r>
            <w:r w:rsidR="007D59C7">
              <w:rPr>
                <w:rFonts w:cs="Arial"/>
                <w:sz w:val="24"/>
                <w:szCs w:val="24"/>
                <w:lang w:val="en-US"/>
              </w:rPr>
              <w:t>25</w:t>
            </w:r>
          </w:p>
        </w:tc>
      </w:tr>
    </w:tbl>
    <w:p w14:paraId="4F56DA2A" w14:textId="77777777" w:rsidR="00CE6E2D" w:rsidRDefault="00CE6E2D"/>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E6E2D" w:rsidRPr="00D515EC" w14:paraId="4F56DA2C" w14:textId="77777777" w:rsidTr="00205AB4">
        <w:trPr>
          <w:trHeight w:val="510"/>
        </w:trPr>
        <w:tc>
          <w:tcPr>
            <w:tcW w:w="9351" w:type="dxa"/>
            <w:shd w:val="clear" w:color="auto" w:fill="D9D9D9"/>
            <w:vAlign w:val="center"/>
          </w:tcPr>
          <w:p w14:paraId="4F56DA2B" w14:textId="77777777" w:rsidR="00CE6E2D" w:rsidRPr="00D515EC" w:rsidRDefault="00CE6E2D" w:rsidP="00CE6E2D">
            <w:pPr>
              <w:widowControl w:val="0"/>
              <w:tabs>
                <w:tab w:val="left" w:pos="4536"/>
              </w:tabs>
              <w:autoSpaceDE w:val="0"/>
              <w:autoSpaceDN w:val="0"/>
              <w:adjustRightInd w:val="0"/>
              <w:spacing w:line="200" w:lineRule="exact"/>
              <w:rPr>
                <w:rFonts w:cs="Arial"/>
                <w:i/>
                <w:sz w:val="24"/>
                <w:szCs w:val="24"/>
                <w:lang w:val="en-US"/>
              </w:rPr>
            </w:pPr>
            <w:r w:rsidRPr="00D515EC">
              <w:rPr>
                <w:rFonts w:cs="Arial"/>
                <w:b/>
                <w:sz w:val="24"/>
                <w:szCs w:val="24"/>
                <w:lang w:val="en-US"/>
              </w:rPr>
              <w:t>RELEVANT DOCUMENTS</w:t>
            </w:r>
          </w:p>
        </w:tc>
      </w:tr>
      <w:tr w:rsidR="00CE6E2D" w:rsidRPr="00D515EC" w14:paraId="4F56DA32" w14:textId="77777777" w:rsidTr="00205AB4">
        <w:trPr>
          <w:trHeight w:val="510"/>
        </w:trPr>
        <w:tc>
          <w:tcPr>
            <w:tcW w:w="9351" w:type="dxa"/>
            <w:shd w:val="clear" w:color="auto" w:fill="auto"/>
            <w:vAlign w:val="center"/>
          </w:tcPr>
          <w:p w14:paraId="4F56DA30" w14:textId="0C13F31A" w:rsidR="00CE6E2D" w:rsidRPr="00350BA1" w:rsidRDefault="00350BA1" w:rsidP="00CE6E2D">
            <w:pPr>
              <w:widowControl w:val="0"/>
              <w:numPr>
                <w:ilvl w:val="0"/>
                <w:numId w:val="1"/>
              </w:numPr>
              <w:autoSpaceDE w:val="0"/>
              <w:autoSpaceDN w:val="0"/>
              <w:adjustRightInd w:val="0"/>
              <w:spacing w:line="242" w:lineRule="exact"/>
              <w:ind w:right="-20"/>
              <w:rPr>
                <w:rFonts w:cs="Arial"/>
                <w:sz w:val="24"/>
                <w:szCs w:val="24"/>
                <w:lang w:val="en-US"/>
              </w:rPr>
            </w:pPr>
            <w:r>
              <w:rPr>
                <w:rFonts w:cs="Arial"/>
                <w:iCs/>
                <w:spacing w:val="-1"/>
                <w:position w:val="-1"/>
                <w:sz w:val="24"/>
                <w:szCs w:val="24"/>
                <w:lang w:val="en-US"/>
              </w:rPr>
              <w:t xml:space="preserve">Student Support Regulations  </w:t>
            </w:r>
          </w:p>
          <w:p w14:paraId="7461F6EC" w14:textId="77777777" w:rsidR="00350BA1" w:rsidRPr="00363DF1" w:rsidRDefault="00350BA1" w:rsidP="00CE6E2D">
            <w:pPr>
              <w:widowControl w:val="0"/>
              <w:numPr>
                <w:ilvl w:val="0"/>
                <w:numId w:val="1"/>
              </w:numPr>
              <w:autoSpaceDE w:val="0"/>
              <w:autoSpaceDN w:val="0"/>
              <w:adjustRightInd w:val="0"/>
              <w:spacing w:line="242" w:lineRule="exact"/>
              <w:ind w:right="-20"/>
              <w:rPr>
                <w:rFonts w:cs="Arial"/>
                <w:sz w:val="24"/>
                <w:szCs w:val="24"/>
                <w:lang w:val="en-US"/>
              </w:rPr>
            </w:pPr>
            <w:r>
              <w:rPr>
                <w:rFonts w:cs="Arial"/>
                <w:iCs/>
                <w:spacing w:val="-1"/>
                <w:position w:val="-1"/>
                <w:sz w:val="24"/>
                <w:szCs w:val="24"/>
                <w:lang w:val="en-US"/>
              </w:rPr>
              <w:t xml:space="preserve">Financial Regulations </w:t>
            </w:r>
          </w:p>
          <w:p w14:paraId="00E21971" w14:textId="11DBF9CB" w:rsidR="00655453" w:rsidRPr="00363DF1" w:rsidRDefault="00655453" w:rsidP="00CE6E2D">
            <w:pPr>
              <w:widowControl w:val="0"/>
              <w:numPr>
                <w:ilvl w:val="0"/>
                <w:numId w:val="1"/>
              </w:numPr>
              <w:autoSpaceDE w:val="0"/>
              <w:autoSpaceDN w:val="0"/>
              <w:adjustRightInd w:val="0"/>
              <w:spacing w:line="242" w:lineRule="exact"/>
              <w:ind w:right="-20"/>
              <w:rPr>
                <w:rFonts w:cs="Arial"/>
                <w:sz w:val="24"/>
                <w:szCs w:val="24"/>
                <w:lang w:val="en-US"/>
              </w:rPr>
            </w:pPr>
            <w:r>
              <w:rPr>
                <w:rFonts w:cs="Arial"/>
                <w:iCs/>
                <w:spacing w:val="-1"/>
                <w:position w:val="-1"/>
                <w:sz w:val="24"/>
                <w:szCs w:val="24"/>
                <w:lang w:val="en-US"/>
              </w:rPr>
              <w:t>Academic Regulations</w:t>
            </w:r>
          </w:p>
          <w:p w14:paraId="4F56DA31" w14:textId="5F0688DC" w:rsidR="00CE6E2D" w:rsidRPr="00D515EC" w:rsidRDefault="00CE6E2D" w:rsidP="00363DF1">
            <w:pPr>
              <w:widowControl w:val="0"/>
              <w:tabs>
                <w:tab w:val="left" w:pos="4536"/>
              </w:tabs>
              <w:autoSpaceDE w:val="0"/>
              <w:autoSpaceDN w:val="0"/>
              <w:adjustRightInd w:val="0"/>
              <w:spacing w:line="200" w:lineRule="exact"/>
              <w:ind w:left="1280"/>
              <w:rPr>
                <w:rFonts w:cs="Arial"/>
                <w:b/>
                <w:sz w:val="24"/>
                <w:szCs w:val="24"/>
                <w:lang w:val="en-US"/>
              </w:rPr>
            </w:pPr>
          </w:p>
        </w:tc>
      </w:tr>
      <w:tr w:rsidR="00CE6E2D" w:rsidRPr="00D515EC" w14:paraId="4F56DA34" w14:textId="77777777" w:rsidTr="00205AB4">
        <w:trPr>
          <w:trHeight w:val="510"/>
        </w:trPr>
        <w:tc>
          <w:tcPr>
            <w:tcW w:w="9351" w:type="dxa"/>
            <w:shd w:val="clear" w:color="auto" w:fill="D9D9D9"/>
            <w:vAlign w:val="center"/>
          </w:tcPr>
          <w:p w14:paraId="4F56DA33" w14:textId="77777777" w:rsidR="00CE6E2D" w:rsidRPr="00D515EC" w:rsidRDefault="00CE6E2D" w:rsidP="00CE6E2D">
            <w:pPr>
              <w:widowControl w:val="0"/>
              <w:tabs>
                <w:tab w:val="left" w:pos="4536"/>
              </w:tabs>
              <w:autoSpaceDE w:val="0"/>
              <w:autoSpaceDN w:val="0"/>
              <w:adjustRightInd w:val="0"/>
              <w:spacing w:line="200" w:lineRule="exact"/>
              <w:rPr>
                <w:rFonts w:cs="Arial"/>
                <w:b/>
                <w:sz w:val="24"/>
                <w:szCs w:val="24"/>
                <w:lang w:val="en-US"/>
              </w:rPr>
            </w:pPr>
            <w:r w:rsidRPr="00D515EC">
              <w:rPr>
                <w:rFonts w:cs="Arial"/>
                <w:b/>
                <w:sz w:val="24"/>
                <w:szCs w:val="24"/>
                <w:lang w:val="en-US"/>
              </w:rPr>
              <w:t>RELATED POLICIES &amp; DOCUMENTS</w:t>
            </w:r>
          </w:p>
        </w:tc>
      </w:tr>
      <w:tr w:rsidR="00CE6E2D" w:rsidRPr="00D515EC" w14:paraId="4F56DA3D" w14:textId="77777777" w:rsidTr="00205AB4">
        <w:trPr>
          <w:trHeight w:val="510"/>
        </w:trPr>
        <w:tc>
          <w:tcPr>
            <w:tcW w:w="9351" w:type="dxa"/>
            <w:shd w:val="clear" w:color="auto" w:fill="auto"/>
            <w:vAlign w:val="center"/>
          </w:tcPr>
          <w:p w14:paraId="4F56DA39" w14:textId="77777777" w:rsidR="00CE6E2D" w:rsidRPr="00655453" w:rsidRDefault="00CE6E2D" w:rsidP="00CE6E2D">
            <w:pPr>
              <w:widowControl w:val="0"/>
              <w:numPr>
                <w:ilvl w:val="0"/>
                <w:numId w:val="2"/>
              </w:numPr>
              <w:autoSpaceDE w:val="0"/>
              <w:autoSpaceDN w:val="0"/>
              <w:adjustRightInd w:val="0"/>
              <w:spacing w:before="25"/>
              <w:ind w:right="-20"/>
              <w:rPr>
                <w:rFonts w:cs="Arial"/>
                <w:sz w:val="24"/>
                <w:szCs w:val="24"/>
                <w:lang w:val="en-US"/>
              </w:rPr>
            </w:pPr>
            <w:r w:rsidRPr="00D515EC">
              <w:rPr>
                <w:rFonts w:cs="Arial"/>
                <w:iCs/>
                <w:sz w:val="24"/>
                <w:szCs w:val="24"/>
                <w:lang w:val="en-US"/>
              </w:rPr>
              <w:t>F</w:t>
            </w:r>
            <w:r w:rsidRPr="00D515EC">
              <w:rPr>
                <w:rFonts w:cs="Arial"/>
                <w:iCs/>
                <w:spacing w:val="-1"/>
                <w:sz w:val="24"/>
                <w:szCs w:val="24"/>
                <w:lang w:val="en-US"/>
              </w:rPr>
              <w:t>i</w:t>
            </w:r>
            <w:r w:rsidRPr="00D515EC">
              <w:rPr>
                <w:rFonts w:cs="Arial"/>
                <w:iCs/>
                <w:sz w:val="24"/>
                <w:szCs w:val="24"/>
                <w:lang w:val="en-US"/>
              </w:rPr>
              <w:t>n</w:t>
            </w:r>
            <w:r w:rsidRPr="00D515EC">
              <w:rPr>
                <w:rFonts w:cs="Arial"/>
                <w:iCs/>
                <w:spacing w:val="-1"/>
                <w:sz w:val="24"/>
                <w:szCs w:val="24"/>
                <w:lang w:val="en-US"/>
              </w:rPr>
              <w:t>a</w:t>
            </w:r>
            <w:r w:rsidRPr="00D515EC">
              <w:rPr>
                <w:rFonts w:cs="Arial"/>
                <w:iCs/>
                <w:sz w:val="24"/>
                <w:szCs w:val="24"/>
                <w:lang w:val="en-US"/>
              </w:rPr>
              <w:t>n</w:t>
            </w:r>
            <w:r w:rsidRPr="00D515EC">
              <w:rPr>
                <w:rFonts w:cs="Arial"/>
                <w:iCs/>
                <w:spacing w:val="3"/>
                <w:sz w:val="24"/>
                <w:szCs w:val="24"/>
                <w:lang w:val="en-US"/>
              </w:rPr>
              <w:t>c</w:t>
            </w:r>
            <w:r w:rsidRPr="00D515EC">
              <w:rPr>
                <w:rFonts w:cs="Arial"/>
                <w:iCs/>
                <w:spacing w:val="-1"/>
                <w:sz w:val="24"/>
                <w:szCs w:val="24"/>
                <w:lang w:val="en-US"/>
              </w:rPr>
              <w:t>i</w:t>
            </w:r>
            <w:r w:rsidRPr="00D515EC">
              <w:rPr>
                <w:rFonts w:cs="Arial"/>
                <w:iCs/>
                <w:spacing w:val="2"/>
                <w:sz w:val="24"/>
                <w:szCs w:val="24"/>
                <w:lang w:val="en-US"/>
              </w:rPr>
              <w:t>a</w:t>
            </w:r>
            <w:r w:rsidRPr="00D515EC">
              <w:rPr>
                <w:rFonts w:cs="Arial"/>
                <w:iCs/>
                <w:sz w:val="24"/>
                <w:szCs w:val="24"/>
                <w:lang w:val="en-US"/>
              </w:rPr>
              <w:t>l</w:t>
            </w:r>
            <w:r w:rsidRPr="00D515EC">
              <w:rPr>
                <w:rFonts w:cs="Arial"/>
                <w:iCs/>
                <w:spacing w:val="-9"/>
                <w:sz w:val="24"/>
                <w:szCs w:val="24"/>
                <w:lang w:val="en-US"/>
              </w:rPr>
              <w:t xml:space="preserve"> </w:t>
            </w:r>
            <w:r w:rsidRPr="00D515EC">
              <w:rPr>
                <w:rFonts w:cs="Arial"/>
                <w:iCs/>
                <w:sz w:val="24"/>
                <w:szCs w:val="24"/>
                <w:lang w:val="en-US"/>
              </w:rPr>
              <w:t>R</w:t>
            </w:r>
            <w:r w:rsidRPr="00D515EC">
              <w:rPr>
                <w:rFonts w:cs="Arial"/>
                <w:iCs/>
                <w:spacing w:val="2"/>
                <w:sz w:val="24"/>
                <w:szCs w:val="24"/>
                <w:lang w:val="en-US"/>
              </w:rPr>
              <w:t>e</w:t>
            </w:r>
            <w:r w:rsidRPr="00D515EC">
              <w:rPr>
                <w:rFonts w:cs="Arial"/>
                <w:iCs/>
                <w:sz w:val="24"/>
                <w:szCs w:val="24"/>
                <w:lang w:val="en-US"/>
              </w:rPr>
              <w:t>g</w:t>
            </w:r>
            <w:r w:rsidRPr="00D515EC">
              <w:rPr>
                <w:rFonts w:cs="Arial"/>
                <w:iCs/>
                <w:spacing w:val="-1"/>
                <w:sz w:val="24"/>
                <w:szCs w:val="24"/>
                <w:lang w:val="en-US"/>
              </w:rPr>
              <w:t>u</w:t>
            </w:r>
            <w:r w:rsidRPr="00D515EC">
              <w:rPr>
                <w:rFonts w:cs="Arial"/>
                <w:iCs/>
                <w:spacing w:val="1"/>
                <w:sz w:val="24"/>
                <w:szCs w:val="24"/>
                <w:lang w:val="en-US"/>
              </w:rPr>
              <w:t>l</w:t>
            </w:r>
            <w:r w:rsidRPr="00D515EC">
              <w:rPr>
                <w:rFonts w:cs="Arial"/>
                <w:iCs/>
                <w:sz w:val="24"/>
                <w:szCs w:val="24"/>
                <w:lang w:val="en-US"/>
              </w:rPr>
              <w:t>at</w:t>
            </w:r>
            <w:r w:rsidRPr="00D515EC">
              <w:rPr>
                <w:rFonts w:cs="Arial"/>
                <w:iCs/>
                <w:spacing w:val="1"/>
                <w:sz w:val="24"/>
                <w:szCs w:val="24"/>
                <w:lang w:val="en-US"/>
              </w:rPr>
              <w:t>i</w:t>
            </w:r>
            <w:r w:rsidRPr="00D515EC">
              <w:rPr>
                <w:rFonts w:cs="Arial"/>
                <w:iCs/>
                <w:sz w:val="24"/>
                <w:szCs w:val="24"/>
                <w:lang w:val="en-US"/>
              </w:rPr>
              <w:t>o</w:t>
            </w:r>
            <w:r w:rsidRPr="00D515EC">
              <w:rPr>
                <w:rFonts w:cs="Arial"/>
                <w:iCs/>
                <w:spacing w:val="-1"/>
                <w:sz w:val="24"/>
                <w:szCs w:val="24"/>
                <w:lang w:val="en-US"/>
              </w:rPr>
              <w:t>n</w:t>
            </w:r>
            <w:r w:rsidRPr="00D515EC">
              <w:rPr>
                <w:rFonts w:cs="Arial"/>
                <w:iCs/>
                <w:sz w:val="24"/>
                <w:szCs w:val="24"/>
                <w:lang w:val="en-US"/>
              </w:rPr>
              <w:t>s</w:t>
            </w:r>
          </w:p>
          <w:p w14:paraId="65555519" w14:textId="76AE475F" w:rsidR="00655453" w:rsidRPr="00CC33C4" w:rsidRDefault="00B23FBB" w:rsidP="00CE6E2D">
            <w:pPr>
              <w:widowControl w:val="0"/>
              <w:numPr>
                <w:ilvl w:val="0"/>
                <w:numId w:val="2"/>
              </w:numPr>
              <w:autoSpaceDE w:val="0"/>
              <w:autoSpaceDN w:val="0"/>
              <w:adjustRightInd w:val="0"/>
              <w:spacing w:before="25"/>
              <w:ind w:right="-20"/>
              <w:rPr>
                <w:rFonts w:cs="Arial"/>
                <w:sz w:val="24"/>
                <w:szCs w:val="24"/>
                <w:lang w:val="en-US"/>
              </w:rPr>
            </w:pPr>
            <w:r>
              <w:rPr>
                <w:rFonts w:cs="Arial"/>
                <w:iCs/>
                <w:sz w:val="24"/>
                <w:szCs w:val="24"/>
                <w:lang w:val="en-US"/>
              </w:rPr>
              <w:t>Terms &amp; Conditions of Offer and Enrolment</w:t>
            </w:r>
          </w:p>
          <w:p w14:paraId="4F56DA3C" w14:textId="77777777" w:rsidR="00CE6E2D" w:rsidRPr="00D515EC" w:rsidRDefault="00CE6E2D" w:rsidP="00CE6E2D">
            <w:pPr>
              <w:widowControl w:val="0"/>
              <w:tabs>
                <w:tab w:val="left" w:pos="4536"/>
              </w:tabs>
              <w:autoSpaceDE w:val="0"/>
              <w:autoSpaceDN w:val="0"/>
              <w:adjustRightInd w:val="0"/>
              <w:spacing w:line="200" w:lineRule="exact"/>
              <w:rPr>
                <w:rFonts w:cs="Arial"/>
                <w:b/>
                <w:sz w:val="24"/>
                <w:szCs w:val="24"/>
                <w:lang w:val="en-US"/>
              </w:rPr>
            </w:pPr>
          </w:p>
        </w:tc>
      </w:tr>
    </w:tbl>
    <w:p w14:paraId="26B990AC" w14:textId="741F106A" w:rsidR="00144479" w:rsidRPr="00350BA1" w:rsidRDefault="00350BA1" w:rsidP="00363DF1">
      <w:pPr>
        <w:spacing w:before="0" w:after="0"/>
        <w:rPr>
          <w:b/>
          <w:sz w:val="32"/>
          <w:szCs w:val="32"/>
          <w:lang w:val="en" w:eastAsia="zh-TW"/>
        </w:rPr>
      </w:pPr>
      <w:r>
        <w:rPr>
          <w:rFonts w:cs="Arial"/>
          <w:b/>
          <w:bCs/>
          <w:color w:val="008CB4"/>
          <w:sz w:val="32"/>
          <w:szCs w:val="32"/>
          <w:lang w:val="en" w:eastAsia="zh-TW"/>
        </w:rPr>
        <w:lastRenderedPageBreak/>
        <w:br w:type="page"/>
      </w:r>
      <w:r w:rsidR="00363DF1">
        <w:rPr>
          <w:b/>
          <w:sz w:val="32"/>
          <w:szCs w:val="32"/>
          <w:lang w:val="en" w:eastAsia="zh-TW"/>
        </w:rPr>
        <w:t>Tu</w:t>
      </w:r>
      <w:r w:rsidR="00144479" w:rsidRPr="00350BA1">
        <w:rPr>
          <w:b/>
          <w:sz w:val="32"/>
          <w:szCs w:val="32"/>
          <w:lang w:val="en" w:eastAsia="zh-TW"/>
        </w:rPr>
        <w:t>ition Fee Policy</w:t>
      </w:r>
    </w:p>
    <w:p w14:paraId="37EFCEFB" w14:textId="77777777" w:rsidR="00144479" w:rsidRPr="00144479" w:rsidRDefault="00144479" w:rsidP="00144479">
      <w:pPr>
        <w:pBdr>
          <w:bottom w:val="single" w:sz="6" w:space="1" w:color="auto"/>
        </w:pBdr>
        <w:spacing w:before="0" w:after="0"/>
        <w:jc w:val="center"/>
        <w:rPr>
          <w:rFonts w:cs="Arial"/>
          <w:vanish/>
          <w:sz w:val="16"/>
          <w:szCs w:val="16"/>
          <w:lang w:eastAsia="zh-TW"/>
        </w:rPr>
      </w:pPr>
      <w:r w:rsidRPr="00144479">
        <w:rPr>
          <w:rFonts w:cs="Arial"/>
          <w:vanish/>
          <w:sz w:val="16"/>
          <w:szCs w:val="16"/>
          <w:lang w:eastAsia="zh-TW"/>
        </w:rPr>
        <w:t>Top of Form</w:t>
      </w:r>
    </w:p>
    <w:p w14:paraId="05E44B61" w14:textId="77777777" w:rsidR="00144479" w:rsidRPr="00144479" w:rsidRDefault="00144479" w:rsidP="00144479">
      <w:pPr>
        <w:shd w:val="clear" w:color="auto" w:fill="FFFFFF"/>
        <w:spacing w:before="0" w:after="0" w:line="352" w:lineRule="atLeast"/>
        <w:rPr>
          <w:rFonts w:cs="Arial"/>
          <w:color w:val="666666"/>
          <w:szCs w:val="22"/>
          <w:lang w:val="en" w:eastAsia="zh-TW"/>
        </w:rPr>
      </w:pPr>
    </w:p>
    <w:p w14:paraId="6FCE2BE2" w14:textId="0C7B652F" w:rsidR="00A411D2" w:rsidRDefault="00F7789B" w:rsidP="160EEAC3">
      <w:pPr>
        <w:contextualSpacing/>
        <w:rPr>
          <w:sz w:val="24"/>
          <w:szCs w:val="24"/>
          <w:lang w:val="en-US" w:eastAsia="zh-TW"/>
        </w:rPr>
      </w:pPr>
      <w:r w:rsidRPr="160EEAC3">
        <w:rPr>
          <w:sz w:val="24"/>
          <w:szCs w:val="24"/>
          <w:lang w:val="en-US" w:eastAsia="zh-TW"/>
        </w:rPr>
        <w:t xml:space="preserve">It is a student’s obligation to </w:t>
      </w:r>
      <w:proofErr w:type="gramStart"/>
      <w:r w:rsidRPr="160EEAC3">
        <w:rPr>
          <w:sz w:val="24"/>
          <w:szCs w:val="24"/>
          <w:lang w:val="en-US" w:eastAsia="zh-TW"/>
        </w:rPr>
        <w:t>make arrangements</w:t>
      </w:r>
      <w:proofErr w:type="gramEnd"/>
      <w:r w:rsidRPr="160EEAC3">
        <w:rPr>
          <w:sz w:val="24"/>
          <w:szCs w:val="24"/>
          <w:lang w:val="en-US" w:eastAsia="zh-TW"/>
        </w:rPr>
        <w:t xml:space="preserve"> at the beginning of a programme of study </w:t>
      </w:r>
      <w:r w:rsidR="00A411D2" w:rsidRPr="160EEAC3">
        <w:rPr>
          <w:sz w:val="24"/>
          <w:szCs w:val="24"/>
          <w:lang w:val="en-US" w:eastAsia="zh-TW"/>
        </w:rPr>
        <w:t>to pay</w:t>
      </w:r>
      <w:r w:rsidRPr="160EEAC3">
        <w:rPr>
          <w:sz w:val="24"/>
          <w:szCs w:val="24"/>
          <w:lang w:val="en-US" w:eastAsia="zh-TW"/>
        </w:rPr>
        <w:t xml:space="preserve"> all tuition fees</w:t>
      </w:r>
      <w:r w:rsidR="00A411D2" w:rsidRPr="160EEAC3">
        <w:rPr>
          <w:sz w:val="24"/>
          <w:szCs w:val="24"/>
          <w:lang w:val="en-US" w:eastAsia="zh-TW"/>
        </w:rPr>
        <w:t>, as stated in the student t</w:t>
      </w:r>
      <w:r w:rsidR="00BC76A1" w:rsidRPr="160EEAC3">
        <w:rPr>
          <w:sz w:val="24"/>
          <w:szCs w:val="24"/>
          <w:lang w:val="en-US" w:eastAsia="zh-TW"/>
        </w:rPr>
        <w:t xml:space="preserve">erms </w:t>
      </w:r>
      <w:r w:rsidR="009A1357" w:rsidRPr="160EEAC3">
        <w:rPr>
          <w:sz w:val="24"/>
          <w:szCs w:val="24"/>
          <w:lang w:val="en-US" w:eastAsia="zh-TW"/>
        </w:rPr>
        <w:t>&amp; condition of admission and enrolment</w:t>
      </w:r>
      <w:r w:rsidR="00A411D2" w:rsidRPr="160EEAC3">
        <w:rPr>
          <w:sz w:val="24"/>
          <w:szCs w:val="24"/>
          <w:lang w:val="en-US" w:eastAsia="zh-TW"/>
        </w:rPr>
        <w:t>.</w:t>
      </w:r>
    </w:p>
    <w:p w14:paraId="2B8CDA70" w14:textId="77777777" w:rsidR="00A411D2" w:rsidRDefault="00A411D2" w:rsidP="00350BA1">
      <w:pPr>
        <w:contextualSpacing/>
        <w:rPr>
          <w:sz w:val="24"/>
          <w:szCs w:val="24"/>
          <w:lang w:val="en" w:eastAsia="zh-TW"/>
        </w:rPr>
      </w:pPr>
    </w:p>
    <w:p w14:paraId="183D2EB5" w14:textId="28F4074E" w:rsidR="00350BA1" w:rsidRPr="002255A1" w:rsidRDefault="00144479" w:rsidP="160EEAC3">
      <w:pPr>
        <w:contextualSpacing/>
        <w:rPr>
          <w:sz w:val="24"/>
          <w:szCs w:val="24"/>
          <w:lang w:val="en-US" w:eastAsia="zh-TW"/>
        </w:rPr>
      </w:pPr>
      <w:r w:rsidRPr="160EEAC3">
        <w:rPr>
          <w:sz w:val="24"/>
          <w:szCs w:val="24"/>
          <w:lang w:val="en-US" w:eastAsia="zh-TW"/>
        </w:rPr>
        <w:t>The University reserves the right to apply sanctions to those students who persistently refuse or fail to pay tuition fees in accordance with the University’s standard payment policy.</w:t>
      </w:r>
    </w:p>
    <w:p w14:paraId="68B8B8C4" w14:textId="77777777" w:rsidR="00350BA1" w:rsidRPr="002255A1" w:rsidRDefault="00350BA1" w:rsidP="00350BA1">
      <w:pPr>
        <w:contextualSpacing/>
        <w:rPr>
          <w:sz w:val="24"/>
          <w:szCs w:val="24"/>
          <w:lang w:val="en" w:eastAsia="zh-TW"/>
        </w:rPr>
      </w:pPr>
    </w:p>
    <w:p w14:paraId="727C01F0" w14:textId="7E359597" w:rsidR="00350BA1" w:rsidRPr="002255A1" w:rsidRDefault="00144479" w:rsidP="160EEAC3">
      <w:pPr>
        <w:contextualSpacing/>
        <w:rPr>
          <w:sz w:val="24"/>
          <w:szCs w:val="24"/>
          <w:lang w:val="en-US" w:eastAsia="zh-TW"/>
        </w:rPr>
      </w:pPr>
      <w:r w:rsidRPr="160EEAC3">
        <w:rPr>
          <w:sz w:val="24"/>
          <w:szCs w:val="24"/>
          <w:lang w:val="en-US" w:eastAsia="zh-TW"/>
        </w:rPr>
        <w:t>Such sanctions may include the withdrawal of library lending facilities, the removal of access to ICT services, the withholding of transcripts, and ultimately withdrawal from your programme of study.</w:t>
      </w:r>
    </w:p>
    <w:p w14:paraId="68A4E049" w14:textId="77777777" w:rsidR="00350BA1" w:rsidRPr="002255A1" w:rsidRDefault="00350BA1" w:rsidP="00350BA1">
      <w:pPr>
        <w:contextualSpacing/>
        <w:rPr>
          <w:sz w:val="24"/>
          <w:szCs w:val="24"/>
          <w:lang w:val="en" w:eastAsia="zh-TW"/>
        </w:rPr>
      </w:pPr>
    </w:p>
    <w:p w14:paraId="4B328842" w14:textId="1A6337EB" w:rsidR="00144479" w:rsidRPr="002255A1" w:rsidRDefault="00144479" w:rsidP="160EEAC3">
      <w:pPr>
        <w:contextualSpacing/>
        <w:rPr>
          <w:sz w:val="24"/>
          <w:szCs w:val="24"/>
          <w:lang w:val="en-US" w:eastAsia="zh-TW"/>
        </w:rPr>
      </w:pPr>
      <w:r w:rsidRPr="160EEAC3">
        <w:rPr>
          <w:sz w:val="24"/>
          <w:szCs w:val="24"/>
          <w:lang w:val="en-US" w:eastAsia="zh-TW"/>
        </w:rPr>
        <w:t>Any student with a tuition fee debt to the University will not be permitted to register for the next year of their programme of study, or any new programme, until the debt has been paid in full, or a repayment schedule that is satisfactory to the University has been agreed.</w:t>
      </w:r>
    </w:p>
    <w:p w14:paraId="11951B3C" w14:textId="77777777" w:rsidR="00350BA1" w:rsidRPr="002255A1" w:rsidRDefault="00350BA1" w:rsidP="00350BA1">
      <w:pPr>
        <w:contextualSpacing/>
        <w:rPr>
          <w:sz w:val="24"/>
          <w:szCs w:val="24"/>
          <w:lang w:val="en" w:eastAsia="zh-TW"/>
        </w:rPr>
      </w:pPr>
    </w:p>
    <w:p w14:paraId="6CA2187A" w14:textId="77777777" w:rsidR="00144479" w:rsidRPr="002255A1" w:rsidRDefault="00144479" w:rsidP="0751B2C1">
      <w:pPr>
        <w:contextualSpacing/>
        <w:rPr>
          <w:sz w:val="24"/>
          <w:szCs w:val="24"/>
          <w:lang w:val="en-US" w:eastAsia="zh-TW"/>
        </w:rPr>
      </w:pPr>
      <w:r w:rsidRPr="0751B2C1">
        <w:rPr>
          <w:sz w:val="24"/>
          <w:szCs w:val="24"/>
          <w:lang w:val="en-US" w:eastAsia="zh-TW"/>
        </w:rPr>
        <w:t>Students with debt at the end of their programme of study will not be allowed to attend the graduation ceremony, and certification will be withheld until said debt is paid in full.</w:t>
      </w:r>
    </w:p>
    <w:p w14:paraId="35114EA4" w14:textId="77777777" w:rsidR="00350BA1" w:rsidRPr="002255A1" w:rsidRDefault="00350BA1" w:rsidP="00350BA1">
      <w:pPr>
        <w:contextualSpacing/>
        <w:rPr>
          <w:sz w:val="24"/>
          <w:szCs w:val="24"/>
          <w:lang w:val="en" w:eastAsia="zh-TW"/>
        </w:rPr>
      </w:pPr>
    </w:p>
    <w:p w14:paraId="2191EB9F" w14:textId="4F28B5A0" w:rsidR="00144479" w:rsidRPr="002255A1" w:rsidRDefault="00144479" w:rsidP="00350BA1">
      <w:pPr>
        <w:contextualSpacing/>
        <w:rPr>
          <w:sz w:val="24"/>
          <w:szCs w:val="24"/>
          <w:lang w:val="en" w:eastAsia="zh-TW"/>
        </w:rPr>
      </w:pPr>
      <w:r w:rsidRPr="002255A1">
        <w:rPr>
          <w:sz w:val="24"/>
          <w:szCs w:val="24"/>
          <w:lang w:val="en" w:eastAsia="zh-TW"/>
        </w:rPr>
        <w:t xml:space="preserve">The University reserves the right to pursue outstanding tuition fees via debt collection </w:t>
      </w:r>
      <w:r w:rsidR="00C2221C" w:rsidRPr="002255A1">
        <w:rPr>
          <w:sz w:val="24"/>
          <w:szCs w:val="24"/>
          <w:lang w:val="en" w:eastAsia="zh-TW"/>
        </w:rPr>
        <w:t>agencies and</w:t>
      </w:r>
      <w:r w:rsidRPr="002255A1">
        <w:rPr>
          <w:sz w:val="24"/>
          <w:szCs w:val="24"/>
          <w:lang w:val="en" w:eastAsia="zh-TW"/>
        </w:rPr>
        <w:t xml:space="preserve"> may use legal proceedings in severe cases. </w:t>
      </w:r>
    </w:p>
    <w:p w14:paraId="7402C463" w14:textId="77777777" w:rsidR="00350BA1" w:rsidRPr="002255A1" w:rsidRDefault="00350BA1" w:rsidP="00350BA1">
      <w:pPr>
        <w:contextualSpacing/>
        <w:rPr>
          <w:sz w:val="24"/>
          <w:szCs w:val="24"/>
          <w:lang w:val="en" w:eastAsia="zh-TW"/>
        </w:rPr>
      </w:pPr>
    </w:p>
    <w:p w14:paraId="6907AC0F" w14:textId="77777777" w:rsidR="003D67FF" w:rsidRPr="002255A1" w:rsidRDefault="003D67FF" w:rsidP="003D67FF">
      <w:pPr>
        <w:contextualSpacing/>
        <w:rPr>
          <w:b/>
          <w:bCs/>
          <w:sz w:val="24"/>
          <w:szCs w:val="24"/>
          <w:lang w:val="en" w:eastAsia="zh-TW"/>
        </w:rPr>
      </w:pPr>
      <w:r w:rsidRPr="002255A1">
        <w:rPr>
          <w:b/>
          <w:bCs/>
          <w:sz w:val="24"/>
          <w:szCs w:val="24"/>
          <w:lang w:val="en" w:eastAsia="zh-TW"/>
        </w:rPr>
        <w:t>Tuition Fee – Refunds</w:t>
      </w:r>
    </w:p>
    <w:p w14:paraId="6660AF83" w14:textId="77777777" w:rsidR="003D67FF" w:rsidRPr="002255A1" w:rsidRDefault="003D67FF" w:rsidP="003D67FF">
      <w:pPr>
        <w:contextualSpacing/>
        <w:rPr>
          <w:b/>
          <w:bCs/>
          <w:sz w:val="24"/>
          <w:szCs w:val="24"/>
          <w:lang w:val="en" w:eastAsia="zh-TW"/>
        </w:rPr>
      </w:pPr>
    </w:p>
    <w:p w14:paraId="263A1C4B" w14:textId="77777777" w:rsidR="003D67FF" w:rsidRPr="002255A1" w:rsidRDefault="003D67FF" w:rsidP="160EEAC3">
      <w:pPr>
        <w:contextualSpacing/>
        <w:rPr>
          <w:sz w:val="24"/>
          <w:szCs w:val="24"/>
          <w:lang w:val="en-US" w:eastAsia="zh-TW"/>
        </w:rPr>
      </w:pPr>
      <w:r w:rsidRPr="160EEAC3">
        <w:rPr>
          <w:sz w:val="24"/>
          <w:szCs w:val="24"/>
          <w:lang w:val="en-US" w:eastAsia="zh-TW"/>
        </w:rPr>
        <w:t>If a student takes leave of absence or withdraws from their programme before completion, they may be entitled to a refund of tuition fees if they have paid all (or a proportion) of the fee themselves.</w:t>
      </w:r>
    </w:p>
    <w:p w14:paraId="1E5C2BB6" w14:textId="77777777" w:rsidR="003D67FF" w:rsidRPr="002255A1" w:rsidRDefault="003D67FF" w:rsidP="003D67FF">
      <w:pPr>
        <w:contextualSpacing/>
        <w:rPr>
          <w:sz w:val="24"/>
          <w:szCs w:val="24"/>
          <w:lang w:val="en" w:eastAsia="zh-TW"/>
        </w:rPr>
      </w:pPr>
    </w:p>
    <w:p w14:paraId="51059D03" w14:textId="77777777" w:rsidR="003D67FF" w:rsidRPr="002255A1" w:rsidRDefault="003D67FF" w:rsidP="160EEAC3">
      <w:pPr>
        <w:contextualSpacing/>
        <w:rPr>
          <w:sz w:val="24"/>
          <w:szCs w:val="24"/>
          <w:lang w:val="en-US" w:eastAsia="zh-TW"/>
        </w:rPr>
      </w:pPr>
      <w:r w:rsidRPr="160EEAC3">
        <w:rPr>
          <w:sz w:val="24"/>
          <w:szCs w:val="24"/>
          <w:lang w:val="en-US" w:eastAsia="zh-TW"/>
        </w:rPr>
        <w:t>When a student leaves their programme, expected tuition fees will be recalculated dependent on the type of programme the student was attending, and the formal date the student left the course.</w:t>
      </w:r>
    </w:p>
    <w:p w14:paraId="5F656942" w14:textId="77777777" w:rsidR="003D67FF" w:rsidRPr="002255A1" w:rsidRDefault="003D67FF" w:rsidP="003D67FF">
      <w:pPr>
        <w:contextualSpacing/>
        <w:rPr>
          <w:sz w:val="24"/>
          <w:szCs w:val="24"/>
          <w:lang w:val="en" w:eastAsia="zh-TW"/>
        </w:rPr>
      </w:pPr>
    </w:p>
    <w:p w14:paraId="5083FBC4" w14:textId="482F4FD5" w:rsidR="003D67FF" w:rsidRPr="002255A1" w:rsidRDefault="003D67FF" w:rsidP="160EEAC3">
      <w:pPr>
        <w:contextualSpacing/>
        <w:rPr>
          <w:sz w:val="24"/>
          <w:szCs w:val="24"/>
          <w:lang w:val="en-US" w:eastAsia="zh-TW"/>
        </w:rPr>
      </w:pPr>
      <w:r w:rsidRPr="160EEAC3">
        <w:rPr>
          <w:sz w:val="24"/>
          <w:szCs w:val="24"/>
          <w:lang w:val="en-US" w:eastAsia="zh-TW"/>
        </w:rPr>
        <w:t xml:space="preserve">Students should request refunds in </w:t>
      </w:r>
      <w:r w:rsidR="00363DF1" w:rsidRPr="160EEAC3">
        <w:rPr>
          <w:sz w:val="24"/>
          <w:szCs w:val="24"/>
          <w:lang w:val="en-US" w:eastAsia="zh-TW"/>
        </w:rPr>
        <w:t>writing and</w:t>
      </w:r>
      <w:r w:rsidRPr="160EEAC3">
        <w:rPr>
          <w:sz w:val="24"/>
          <w:szCs w:val="24"/>
          <w:lang w:val="en-US" w:eastAsia="zh-TW"/>
        </w:rPr>
        <w:t xml:space="preserve"> ensure they have returned their university ID card.</w:t>
      </w:r>
    </w:p>
    <w:p w14:paraId="725E7288" w14:textId="77777777" w:rsidR="003D67FF" w:rsidRPr="002255A1" w:rsidRDefault="003D67FF" w:rsidP="003D67FF">
      <w:pPr>
        <w:contextualSpacing/>
        <w:rPr>
          <w:sz w:val="24"/>
          <w:szCs w:val="24"/>
          <w:lang w:val="en" w:eastAsia="zh-TW"/>
        </w:rPr>
      </w:pPr>
    </w:p>
    <w:p w14:paraId="2C5CAD90" w14:textId="77777777" w:rsidR="003D67FF" w:rsidRPr="002255A1" w:rsidRDefault="003D67FF" w:rsidP="003D67FF">
      <w:pPr>
        <w:contextualSpacing/>
        <w:rPr>
          <w:sz w:val="24"/>
          <w:szCs w:val="24"/>
          <w:lang w:val="en" w:eastAsia="zh-TW"/>
        </w:rPr>
      </w:pPr>
      <w:r w:rsidRPr="002255A1">
        <w:rPr>
          <w:sz w:val="24"/>
          <w:szCs w:val="24"/>
          <w:lang w:val="en" w:eastAsia="zh-TW"/>
        </w:rPr>
        <w:t>Refunds will only be made to the same payee or account as the original payment, and usually by the same payment method.</w:t>
      </w:r>
    </w:p>
    <w:p w14:paraId="7A7B4533" w14:textId="77777777" w:rsidR="003D67FF" w:rsidRPr="002255A1" w:rsidRDefault="003D67FF" w:rsidP="003D67FF">
      <w:pPr>
        <w:contextualSpacing/>
        <w:rPr>
          <w:sz w:val="24"/>
          <w:szCs w:val="24"/>
          <w:lang w:val="en" w:eastAsia="zh-TW"/>
        </w:rPr>
      </w:pPr>
    </w:p>
    <w:p w14:paraId="661AB833" w14:textId="77777777" w:rsidR="003D67FF" w:rsidRPr="002255A1" w:rsidRDefault="003D67FF" w:rsidP="003D67FF">
      <w:pPr>
        <w:contextualSpacing/>
        <w:rPr>
          <w:sz w:val="24"/>
          <w:szCs w:val="24"/>
          <w:lang w:val="en" w:eastAsia="zh-TW"/>
        </w:rPr>
      </w:pPr>
      <w:r w:rsidRPr="002255A1">
        <w:rPr>
          <w:b/>
          <w:bCs/>
          <w:sz w:val="24"/>
          <w:szCs w:val="24"/>
          <w:lang w:val="en" w:eastAsia="zh-TW"/>
        </w:rPr>
        <w:t>Sponsored Students (excluding Student Loans Company)</w:t>
      </w:r>
    </w:p>
    <w:p w14:paraId="2A197457" w14:textId="466B6268" w:rsidR="003D67FF" w:rsidRPr="002255A1" w:rsidRDefault="003D67FF" w:rsidP="160EEAC3">
      <w:pPr>
        <w:contextualSpacing/>
        <w:rPr>
          <w:sz w:val="24"/>
          <w:szCs w:val="24"/>
          <w:lang w:val="en-US" w:eastAsia="zh-TW"/>
        </w:rPr>
      </w:pPr>
      <w:r w:rsidRPr="160EEAC3">
        <w:rPr>
          <w:sz w:val="24"/>
          <w:szCs w:val="24"/>
          <w:lang w:val="en-US" w:eastAsia="zh-TW"/>
        </w:rPr>
        <w:t xml:space="preserve">Refunds are only made to sponsors at the request of the </w:t>
      </w:r>
      <w:r w:rsidR="00A63A64" w:rsidRPr="160EEAC3">
        <w:rPr>
          <w:sz w:val="24"/>
          <w:szCs w:val="24"/>
          <w:lang w:val="en-US" w:eastAsia="zh-TW"/>
        </w:rPr>
        <w:t>sponsor and</w:t>
      </w:r>
      <w:r w:rsidRPr="160EEAC3">
        <w:rPr>
          <w:sz w:val="24"/>
          <w:szCs w:val="24"/>
          <w:lang w:val="en-US" w:eastAsia="zh-TW"/>
        </w:rPr>
        <w:t xml:space="preserve"> are calculated in identical fashion to a student refund.</w:t>
      </w:r>
    </w:p>
    <w:p w14:paraId="2D90F217" w14:textId="77777777" w:rsidR="003D67FF" w:rsidRPr="002255A1" w:rsidRDefault="003D67FF" w:rsidP="003D67FF">
      <w:pPr>
        <w:contextualSpacing/>
        <w:rPr>
          <w:sz w:val="24"/>
          <w:szCs w:val="24"/>
          <w:lang w:val="en" w:eastAsia="zh-TW"/>
        </w:rPr>
      </w:pPr>
    </w:p>
    <w:p w14:paraId="7CC69323" w14:textId="2CA436F2" w:rsidR="003D67FF" w:rsidRPr="002255A1" w:rsidRDefault="003D67FF" w:rsidP="003D67FF">
      <w:pPr>
        <w:contextualSpacing/>
        <w:rPr>
          <w:sz w:val="24"/>
          <w:szCs w:val="24"/>
          <w:lang w:val="en" w:eastAsia="zh-TW"/>
        </w:rPr>
      </w:pPr>
      <w:r w:rsidRPr="002255A1">
        <w:rPr>
          <w:sz w:val="24"/>
          <w:szCs w:val="24"/>
          <w:lang w:val="en" w:eastAsia="zh-TW"/>
        </w:rPr>
        <w:t>Where a sponsor has contributed a proportion of the fee, any refund will be made to the student in the first instance (until the refund exceeds the student’s personal payment) unless the sponsor has specified that they will pay a percentage of any fees due.</w:t>
      </w:r>
    </w:p>
    <w:p w14:paraId="29350FDD" w14:textId="77777777" w:rsidR="00350BA1" w:rsidRPr="002255A1" w:rsidRDefault="00350BA1" w:rsidP="00350BA1">
      <w:pPr>
        <w:contextualSpacing/>
        <w:rPr>
          <w:sz w:val="24"/>
          <w:szCs w:val="24"/>
          <w:lang w:val="en" w:eastAsia="zh-TW"/>
        </w:rPr>
      </w:pPr>
    </w:p>
    <w:p w14:paraId="7608EA6E" w14:textId="699B4B2D" w:rsidR="00144479" w:rsidRDefault="00813FA4" w:rsidP="00350BA1">
      <w:pPr>
        <w:contextualSpacing/>
        <w:rPr>
          <w:sz w:val="24"/>
          <w:szCs w:val="24"/>
        </w:rPr>
      </w:pPr>
      <w:r w:rsidRPr="00D63D43">
        <w:rPr>
          <w:sz w:val="24"/>
          <w:szCs w:val="24"/>
          <w:lang w:val="en" w:eastAsia="zh-TW"/>
        </w:rPr>
        <w:t>For further details about this policy click</w:t>
      </w:r>
      <w:r w:rsidRPr="00D63D43">
        <w:rPr>
          <w:color w:val="666666"/>
          <w:sz w:val="24"/>
          <w:szCs w:val="24"/>
          <w:lang w:val="en" w:eastAsia="zh-TW"/>
        </w:rPr>
        <w:t> </w:t>
      </w:r>
      <w:hyperlink r:id="rId12" w:history="1">
        <w:r w:rsidRPr="00D63D43">
          <w:rPr>
            <w:color w:val="0000FF"/>
            <w:sz w:val="24"/>
            <w:szCs w:val="24"/>
            <w:u w:val="single"/>
            <w:lang w:val="en" w:eastAsia="zh-TW"/>
          </w:rPr>
          <w:t>here</w:t>
        </w:r>
      </w:hyperlink>
      <w:r w:rsidRPr="00D63D43">
        <w:rPr>
          <w:color w:val="666666"/>
          <w:sz w:val="24"/>
          <w:szCs w:val="24"/>
          <w:lang w:val="en" w:eastAsia="zh-TW"/>
        </w:rPr>
        <w:t xml:space="preserve"> </w:t>
      </w:r>
      <w:r w:rsidRPr="00D63D43">
        <w:rPr>
          <w:sz w:val="24"/>
          <w:szCs w:val="24"/>
        </w:rPr>
        <w:t>or contact</w:t>
      </w:r>
      <w:r w:rsidR="001E0E82">
        <w:rPr>
          <w:sz w:val="24"/>
          <w:szCs w:val="24"/>
        </w:rPr>
        <w:t xml:space="preserve"> </w:t>
      </w:r>
      <w:hyperlink r:id="rId13" w:history="1">
        <w:r w:rsidR="001E0E82" w:rsidRPr="001E0E82">
          <w:rPr>
            <w:rStyle w:val="Hyperlink"/>
            <w:rFonts w:cs="Arial"/>
            <w:sz w:val="24"/>
            <w:szCs w:val="24"/>
            <w:lang w:val="en"/>
          </w:rPr>
          <w:t>Registry Services</w:t>
        </w:r>
      </w:hyperlink>
      <w:r w:rsidR="001E0E82">
        <w:rPr>
          <w:sz w:val="24"/>
          <w:szCs w:val="24"/>
        </w:rPr>
        <w:t>.</w:t>
      </w:r>
    </w:p>
    <w:p w14:paraId="764569AB" w14:textId="77777777" w:rsidR="00AE1B2F" w:rsidRPr="002255A1" w:rsidRDefault="00AE1B2F" w:rsidP="00350BA1">
      <w:pPr>
        <w:contextualSpacing/>
        <w:rPr>
          <w:color w:val="666666"/>
          <w:sz w:val="24"/>
          <w:szCs w:val="24"/>
          <w:lang w:val="en" w:eastAsia="zh-TW"/>
        </w:rPr>
      </w:pPr>
    </w:p>
    <w:p w14:paraId="4AC084B3" w14:textId="77777777" w:rsidR="008679A9" w:rsidRPr="002255A1" w:rsidRDefault="008679A9" w:rsidP="00350BA1">
      <w:pPr>
        <w:contextualSpacing/>
        <w:rPr>
          <w:color w:val="666666"/>
          <w:sz w:val="24"/>
          <w:szCs w:val="24"/>
          <w:lang w:val="en" w:eastAsia="zh-TW"/>
        </w:rPr>
      </w:pPr>
    </w:p>
    <w:p w14:paraId="56AF9554" w14:textId="77777777" w:rsidR="008679A9" w:rsidRPr="002255A1" w:rsidRDefault="008679A9" w:rsidP="00350BA1">
      <w:pPr>
        <w:contextualSpacing/>
        <w:rPr>
          <w:color w:val="666666"/>
          <w:sz w:val="24"/>
          <w:szCs w:val="24"/>
          <w:lang w:val="en" w:eastAsia="zh-TW"/>
        </w:rPr>
      </w:pPr>
    </w:p>
    <w:p w14:paraId="633C97ED" w14:textId="77777777" w:rsidR="00A25370" w:rsidRPr="002255A1" w:rsidRDefault="00A25370" w:rsidP="00A25370">
      <w:pPr>
        <w:contextualSpacing/>
        <w:rPr>
          <w:b/>
          <w:sz w:val="24"/>
          <w:szCs w:val="24"/>
          <w:u w:val="single"/>
          <w:lang w:val="en"/>
        </w:rPr>
      </w:pPr>
    </w:p>
    <w:p w14:paraId="79E0125F" w14:textId="77777777" w:rsidR="00A25370" w:rsidRPr="002255A1" w:rsidRDefault="00A25370" w:rsidP="00A25370">
      <w:pPr>
        <w:contextualSpacing/>
        <w:rPr>
          <w:b/>
          <w:sz w:val="24"/>
          <w:szCs w:val="24"/>
          <w:u w:val="single"/>
          <w:lang w:val="en"/>
        </w:rPr>
      </w:pPr>
    </w:p>
    <w:p w14:paraId="0AEDEF13" w14:textId="77777777" w:rsidR="00A25370" w:rsidRPr="002255A1" w:rsidRDefault="00A25370" w:rsidP="00A25370">
      <w:pPr>
        <w:contextualSpacing/>
        <w:rPr>
          <w:b/>
          <w:sz w:val="24"/>
          <w:szCs w:val="24"/>
          <w:u w:val="single"/>
          <w:lang w:val="en"/>
        </w:rPr>
      </w:pPr>
    </w:p>
    <w:p w14:paraId="243FD744" w14:textId="77777777" w:rsidR="00A25370" w:rsidRDefault="00A25370" w:rsidP="00A25370">
      <w:pPr>
        <w:contextualSpacing/>
        <w:rPr>
          <w:b/>
          <w:sz w:val="24"/>
          <w:szCs w:val="24"/>
          <w:u w:val="single"/>
          <w:lang w:val="en"/>
        </w:rPr>
      </w:pPr>
    </w:p>
    <w:p w14:paraId="42E2124A" w14:textId="6B7993CF" w:rsidR="00A25370" w:rsidRPr="005C04BE" w:rsidRDefault="00AE1B2F" w:rsidP="00A25370">
      <w:pPr>
        <w:contextualSpacing/>
        <w:rPr>
          <w:b/>
          <w:sz w:val="24"/>
          <w:szCs w:val="24"/>
          <w:u w:val="single"/>
          <w:lang w:val="en"/>
        </w:rPr>
      </w:pPr>
      <w:r>
        <w:rPr>
          <w:b/>
          <w:sz w:val="24"/>
          <w:szCs w:val="24"/>
          <w:u w:val="single"/>
          <w:lang w:val="en"/>
        </w:rPr>
        <w:t>Refund</w:t>
      </w:r>
      <w:r w:rsidR="00A25370" w:rsidRPr="005C04BE">
        <w:rPr>
          <w:b/>
          <w:sz w:val="24"/>
          <w:szCs w:val="24"/>
          <w:u w:val="single"/>
          <w:lang w:val="en"/>
        </w:rPr>
        <w:t xml:space="preserve"> </w:t>
      </w:r>
      <w:r>
        <w:rPr>
          <w:b/>
          <w:sz w:val="24"/>
          <w:szCs w:val="24"/>
          <w:u w:val="single"/>
          <w:lang w:val="en"/>
        </w:rPr>
        <w:t>Schedule</w:t>
      </w:r>
    </w:p>
    <w:p w14:paraId="75E479F8" w14:textId="77777777" w:rsidR="00A25370" w:rsidRPr="005C04BE" w:rsidRDefault="00A25370" w:rsidP="00A25370">
      <w:pPr>
        <w:contextualSpacing/>
        <w:rPr>
          <w:sz w:val="24"/>
          <w:szCs w:val="24"/>
          <w:lang w:val="en"/>
        </w:rPr>
      </w:pPr>
    </w:p>
    <w:p w14:paraId="59281E2C" w14:textId="0B094CFA" w:rsidR="00A25370" w:rsidRPr="005C04BE" w:rsidRDefault="00A25370" w:rsidP="0751B2C1">
      <w:pPr>
        <w:contextualSpacing/>
        <w:rPr>
          <w:sz w:val="24"/>
          <w:szCs w:val="24"/>
        </w:rPr>
      </w:pPr>
      <w:r w:rsidRPr="0751B2C1">
        <w:rPr>
          <w:sz w:val="24"/>
          <w:szCs w:val="24"/>
        </w:rPr>
        <w:t>If a</w:t>
      </w:r>
      <w:r w:rsidR="00506340" w:rsidRPr="0751B2C1">
        <w:rPr>
          <w:sz w:val="24"/>
          <w:szCs w:val="24"/>
        </w:rPr>
        <w:t xml:space="preserve"> home or international</w:t>
      </w:r>
      <w:r w:rsidRPr="0751B2C1">
        <w:rPr>
          <w:sz w:val="24"/>
          <w:szCs w:val="24"/>
        </w:rPr>
        <w:t xml:space="preserve"> student withdraws from their academic programme, or goes on a period of ‘leave of absence’, their tuition fees will be recalculated on the following basis:</w:t>
      </w:r>
    </w:p>
    <w:p w14:paraId="731A5A38" w14:textId="77777777" w:rsidR="00A25370" w:rsidRPr="005C04BE" w:rsidRDefault="00A25370" w:rsidP="00A25370">
      <w:pPr>
        <w:contextualSpacing/>
        <w:rPr>
          <w:sz w:val="24"/>
          <w:szCs w:val="24"/>
          <w:lang w:val="en"/>
        </w:rPr>
      </w:pPr>
    </w:p>
    <w:p w14:paraId="5504072F" w14:textId="77777777" w:rsidR="00A25370" w:rsidRPr="005C04BE" w:rsidRDefault="00A25370" w:rsidP="00A25370">
      <w:pPr>
        <w:contextualSpacing/>
        <w:rPr>
          <w:b/>
          <w:bCs/>
          <w:sz w:val="24"/>
          <w:szCs w:val="24"/>
          <w:lang w:val="en"/>
        </w:rPr>
      </w:pPr>
      <w:r w:rsidRPr="005C04BE">
        <w:rPr>
          <w:b/>
          <w:bCs/>
          <w:sz w:val="24"/>
          <w:szCs w:val="24"/>
          <w:lang w:val="en"/>
        </w:rPr>
        <w:t>All Undergraduate, PGCE, PGDE and M Arch Architecture students</w:t>
      </w:r>
    </w:p>
    <w:p w14:paraId="16948532" w14:textId="77777777" w:rsidR="00A25370" w:rsidRPr="005C04BE" w:rsidRDefault="00A25370" w:rsidP="160EEAC3">
      <w:pPr>
        <w:contextualSpacing/>
        <w:rPr>
          <w:sz w:val="24"/>
          <w:szCs w:val="24"/>
          <w:lang w:val="en-US"/>
        </w:rPr>
      </w:pPr>
      <w:r w:rsidRPr="160EEAC3">
        <w:rPr>
          <w:sz w:val="24"/>
          <w:szCs w:val="24"/>
          <w:lang w:val="en-US"/>
        </w:rPr>
        <w:t xml:space="preserve">Fees will be charged on a 25%, 25%, 50% basis, based on the start date of a programme, and the related liability point as </w:t>
      </w:r>
      <w:proofErr w:type="spellStart"/>
      <w:r w:rsidRPr="160EEAC3">
        <w:rPr>
          <w:sz w:val="24"/>
          <w:szCs w:val="24"/>
          <w:lang w:val="en-US"/>
        </w:rPr>
        <w:t>recognised</w:t>
      </w:r>
      <w:proofErr w:type="spellEnd"/>
      <w:r w:rsidRPr="160EEAC3">
        <w:rPr>
          <w:sz w:val="24"/>
          <w:szCs w:val="24"/>
          <w:lang w:val="en-US"/>
        </w:rPr>
        <w:t xml:space="preserve"> by the Student Loans Company.</w:t>
      </w:r>
    </w:p>
    <w:p w14:paraId="5AC690F3" w14:textId="77777777" w:rsidR="00A25370" w:rsidRPr="005C04BE" w:rsidRDefault="00A25370" w:rsidP="00A25370">
      <w:pPr>
        <w:contextualSpacing/>
        <w:rPr>
          <w:sz w:val="24"/>
          <w:szCs w:val="24"/>
          <w:lang w:val="en"/>
        </w:rPr>
      </w:pPr>
    </w:p>
    <w:p w14:paraId="0EB3A68D" w14:textId="30DCFDFD" w:rsidR="00A25370" w:rsidRPr="00873817" w:rsidRDefault="00A25370" w:rsidP="00A25370">
      <w:pPr>
        <w:contextualSpacing/>
        <w:rPr>
          <w:sz w:val="24"/>
          <w:szCs w:val="24"/>
          <w:lang w:val="en"/>
        </w:rPr>
      </w:pPr>
      <w:r w:rsidRPr="00873817">
        <w:rPr>
          <w:sz w:val="24"/>
          <w:szCs w:val="24"/>
          <w:lang w:val="en"/>
        </w:rPr>
        <w:t xml:space="preserve">For the </w:t>
      </w:r>
      <w:r w:rsidR="005449A2" w:rsidRPr="00873817">
        <w:rPr>
          <w:sz w:val="24"/>
          <w:szCs w:val="24"/>
          <w:lang w:val="en"/>
        </w:rPr>
        <w:t>202</w:t>
      </w:r>
      <w:r w:rsidR="00F945BF">
        <w:rPr>
          <w:sz w:val="24"/>
          <w:szCs w:val="24"/>
          <w:lang w:val="en"/>
        </w:rPr>
        <w:t>4</w:t>
      </w:r>
      <w:r w:rsidRPr="00873817">
        <w:rPr>
          <w:sz w:val="24"/>
          <w:szCs w:val="24"/>
          <w:lang w:val="en"/>
        </w:rPr>
        <w:t>/</w:t>
      </w:r>
      <w:r w:rsidR="005449A2" w:rsidRPr="00873817">
        <w:rPr>
          <w:sz w:val="24"/>
          <w:szCs w:val="24"/>
          <w:lang w:val="en"/>
        </w:rPr>
        <w:t>202</w:t>
      </w:r>
      <w:r w:rsidR="007B29EA">
        <w:rPr>
          <w:sz w:val="24"/>
          <w:szCs w:val="24"/>
          <w:lang w:val="en"/>
        </w:rPr>
        <w:t>5</w:t>
      </w:r>
      <w:r w:rsidR="005449A2" w:rsidRPr="00873817">
        <w:rPr>
          <w:sz w:val="24"/>
          <w:szCs w:val="24"/>
          <w:lang w:val="en"/>
        </w:rPr>
        <w:t xml:space="preserve"> </w:t>
      </w:r>
      <w:r w:rsidRPr="00873817">
        <w:rPr>
          <w:sz w:val="24"/>
          <w:szCs w:val="24"/>
          <w:lang w:val="en"/>
        </w:rPr>
        <w:t>academic year the liability points are:</w:t>
      </w:r>
    </w:p>
    <w:p w14:paraId="1D0934C2" w14:textId="2CF0AE7A" w:rsidR="00A25370" w:rsidRPr="005C04BE" w:rsidRDefault="00A25370" w:rsidP="00A25370">
      <w:pPr>
        <w:contextualSpacing/>
        <w:rPr>
          <w:sz w:val="24"/>
          <w:szCs w:val="24"/>
          <w:lang w:val="en"/>
        </w:rPr>
      </w:pPr>
      <w:r w:rsidRPr="00873817">
        <w:rPr>
          <w:sz w:val="24"/>
          <w:szCs w:val="24"/>
          <w:lang w:val="en"/>
        </w:rPr>
        <w:t>Liabil</w:t>
      </w:r>
      <w:r w:rsidR="000971E4" w:rsidRPr="00873817">
        <w:rPr>
          <w:sz w:val="24"/>
          <w:szCs w:val="24"/>
          <w:lang w:val="en"/>
        </w:rPr>
        <w:t xml:space="preserve">ity Point 1 = On or after the </w:t>
      </w:r>
      <w:r w:rsidR="00F95BF0">
        <w:rPr>
          <w:sz w:val="24"/>
          <w:szCs w:val="24"/>
          <w:lang w:val="en"/>
        </w:rPr>
        <w:t>7</w:t>
      </w:r>
      <w:r w:rsidR="00CF3CCE" w:rsidRPr="00CF3CCE">
        <w:rPr>
          <w:sz w:val="24"/>
          <w:szCs w:val="24"/>
          <w:vertAlign w:val="superscript"/>
          <w:lang w:val="en"/>
        </w:rPr>
        <w:t>th</w:t>
      </w:r>
      <w:r w:rsidR="00CF3CCE">
        <w:rPr>
          <w:sz w:val="24"/>
          <w:szCs w:val="24"/>
          <w:lang w:val="en"/>
        </w:rPr>
        <w:t xml:space="preserve"> </w:t>
      </w:r>
      <w:r w:rsidR="00377CDA">
        <w:rPr>
          <w:sz w:val="24"/>
          <w:szCs w:val="24"/>
          <w:lang w:val="en"/>
        </w:rPr>
        <w:t>October 202</w:t>
      </w:r>
      <w:r w:rsidR="00F95BF0">
        <w:rPr>
          <w:sz w:val="24"/>
          <w:szCs w:val="24"/>
          <w:lang w:val="en"/>
        </w:rPr>
        <w:t>4</w:t>
      </w:r>
      <w:r w:rsidRPr="00873817">
        <w:rPr>
          <w:sz w:val="24"/>
          <w:szCs w:val="24"/>
          <w:lang w:val="en"/>
        </w:rPr>
        <w:t> for all students</w:t>
      </w:r>
      <w:r w:rsidRPr="00873817">
        <w:rPr>
          <w:sz w:val="24"/>
          <w:szCs w:val="24"/>
          <w:lang w:val="en"/>
        </w:rPr>
        <w:br/>
        <w:t>Liabi</w:t>
      </w:r>
      <w:r w:rsidR="00F7789B" w:rsidRPr="00873817">
        <w:rPr>
          <w:sz w:val="24"/>
          <w:szCs w:val="24"/>
          <w:lang w:val="en"/>
        </w:rPr>
        <w:t xml:space="preserve">lity Point 2 = On or after </w:t>
      </w:r>
      <w:proofErr w:type="gramStart"/>
      <w:r w:rsidR="00F7789B" w:rsidRPr="00873817">
        <w:rPr>
          <w:sz w:val="24"/>
          <w:szCs w:val="24"/>
          <w:lang w:val="en"/>
        </w:rPr>
        <w:t xml:space="preserve">the </w:t>
      </w:r>
      <w:r w:rsidR="00F936A3">
        <w:rPr>
          <w:sz w:val="24"/>
          <w:szCs w:val="24"/>
          <w:lang w:val="en"/>
        </w:rPr>
        <w:t xml:space="preserve"> </w:t>
      </w:r>
      <w:r w:rsidR="004C3A1D">
        <w:rPr>
          <w:sz w:val="24"/>
          <w:szCs w:val="24"/>
          <w:lang w:val="en"/>
        </w:rPr>
        <w:t>6</w:t>
      </w:r>
      <w:proofErr w:type="gramEnd"/>
      <w:r w:rsidR="004C3A1D" w:rsidRPr="00363DF1">
        <w:rPr>
          <w:sz w:val="24"/>
          <w:szCs w:val="24"/>
          <w:vertAlign w:val="superscript"/>
          <w:lang w:val="en"/>
        </w:rPr>
        <w:t>th</w:t>
      </w:r>
      <w:r w:rsidR="004C3A1D">
        <w:rPr>
          <w:sz w:val="24"/>
          <w:szCs w:val="24"/>
          <w:lang w:val="en"/>
        </w:rPr>
        <w:t xml:space="preserve"> </w:t>
      </w:r>
      <w:r w:rsidR="00AE1B2F" w:rsidRPr="00873817">
        <w:rPr>
          <w:sz w:val="24"/>
          <w:szCs w:val="24"/>
          <w:lang w:val="en"/>
        </w:rPr>
        <w:t>January 20</w:t>
      </w:r>
      <w:r w:rsidR="00377CDA">
        <w:rPr>
          <w:sz w:val="24"/>
          <w:szCs w:val="24"/>
          <w:lang w:val="en"/>
        </w:rPr>
        <w:t>2</w:t>
      </w:r>
      <w:r w:rsidR="004C3A1D">
        <w:rPr>
          <w:sz w:val="24"/>
          <w:szCs w:val="24"/>
          <w:lang w:val="en"/>
        </w:rPr>
        <w:t>5</w:t>
      </w:r>
      <w:r w:rsidRPr="00873817">
        <w:rPr>
          <w:sz w:val="24"/>
          <w:szCs w:val="24"/>
          <w:lang w:val="en"/>
        </w:rPr>
        <w:t> for all students</w:t>
      </w:r>
      <w:r w:rsidRPr="00873817">
        <w:rPr>
          <w:sz w:val="24"/>
          <w:szCs w:val="24"/>
          <w:lang w:val="en"/>
        </w:rPr>
        <w:br/>
        <w:t>Liabil</w:t>
      </w:r>
      <w:r w:rsidR="00211BCF" w:rsidRPr="00873817">
        <w:rPr>
          <w:sz w:val="24"/>
          <w:szCs w:val="24"/>
          <w:lang w:val="en"/>
        </w:rPr>
        <w:t>ity Point 3 = O</w:t>
      </w:r>
      <w:r w:rsidR="00F7789B" w:rsidRPr="00873817">
        <w:rPr>
          <w:sz w:val="24"/>
          <w:szCs w:val="24"/>
          <w:lang w:val="en"/>
        </w:rPr>
        <w:t xml:space="preserve">n or after the </w:t>
      </w:r>
      <w:r w:rsidR="00BE780B">
        <w:rPr>
          <w:sz w:val="24"/>
          <w:szCs w:val="24"/>
          <w:lang w:val="en"/>
        </w:rPr>
        <w:t xml:space="preserve"> </w:t>
      </w:r>
      <w:r w:rsidR="00AB159A">
        <w:rPr>
          <w:sz w:val="24"/>
          <w:szCs w:val="24"/>
          <w:lang w:val="en"/>
        </w:rPr>
        <w:t>1</w:t>
      </w:r>
      <w:r w:rsidR="00AB159A" w:rsidRPr="00363DF1">
        <w:rPr>
          <w:sz w:val="24"/>
          <w:szCs w:val="24"/>
          <w:vertAlign w:val="superscript"/>
          <w:lang w:val="en"/>
        </w:rPr>
        <w:t>st</w:t>
      </w:r>
      <w:r w:rsidR="00AB159A">
        <w:rPr>
          <w:sz w:val="24"/>
          <w:szCs w:val="24"/>
          <w:lang w:val="en"/>
        </w:rPr>
        <w:t xml:space="preserve"> </w:t>
      </w:r>
      <w:r w:rsidRPr="00873817">
        <w:rPr>
          <w:sz w:val="24"/>
          <w:szCs w:val="24"/>
          <w:lang w:val="en"/>
        </w:rPr>
        <w:t>April 20</w:t>
      </w:r>
      <w:r w:rsidR="00377CDA">
        <w:rPr>
          <w:sz w:val="24"/>
          <w:szCs w:val="24"/>
          <w:lang w:val="en"/>
        </w:rPr>
        <w:t>2</w:t>
      </w:r>
      <w:r w:rsidR="00AB159A">
        <w:rPr>
          <w:sz w:val="24"/>
          <w:szCs w:val="24"/>
          <w:lang w:val="en"/>
        </w:rPr>
        <w:t>5</w:t>
      </w:r>
      <w:r w:rsidRPr="00873817">
        <w:rPr>
          <w:sz w:val="24"/>
          <w:szCs w:val="24"/>
          <w:lang w:val="en"/>
        </w:rPr>
        <w:t xml:space="preserve"> for all students</w:t>
      </w:r>
    </w:p>
    <w:p w14:paraId="0539BF89" w14:textId="77777777" w:rsidR="00A25370" w:rsidRPr="005C04BE" w:rsidRDefault="00A25370" w:rsidP="00A25370">
      <w:pPr>
        <w:contextualSpacing/>
        <w:rPr>
          <w:sz w:val="24"/>
          <w:szCs w:val="24"/>
          <w:lang w:val="en"/>
        </w:rPr>
      </w:pPr>
    </w:p>
    <w:p w14:paraId="1375A212" w14:textId="77777777" w:rsidR="00A25370" w:rsidRPr="005C04BE" w:rsidRDefault="00A25370" w:rsidP="00A25370">
      <w:pPr>
        <w:contextualSpacing/>
        <w:rPr>
          <w:sz w:val="24"/>
          <w:szCs w:val="24"/>
          <w:lang w:val="en"/>
        </w:rPr>
      </w:pPr>
      <w:r w:rsidRPr="005C04BE">
        <w:rPr>
          <w:sz w:val="24"/>
          <w:szCs w:val="24"/>
          <w:lang w:val="en"/>
        </w:rPr>
        <w:t>For example:</w:t>
      </w:r>
    </w:p>
    <w:tbl>
      <w:tblPr>
        <w:tblW w:w="3528" w:type="pct"/>
        <w:tblInd w:w="108" w:type="dxa"/>
        <w:tblBorders>
          <w:top w:val="outset" w:sz="6" w:space="0" w:color="auto"/>
          <w:left w:val="outset" w:sz="6" w:space="0" w:color="auto"/>
          <w:bottom w:val="outset" w:sz="6" w:space="0" w:color="auto"/>
          <w:right w:val="outset" w:sz="6" w:space="0" w:color="auto"/>
        </w:tblBorders>
        <w:tblCellMar>
          <w:left w:w="0" w:type="dxa"/>
          <w:bottom w:w="150" w:type="dxa"/>
          <w:right w:w="0" w:type="dxa"/>
        </w:tblCellMar>
        <w:tblLook w:val="04A0" w:firstRow="1" w:lastRow="0" w:firstColumn="1" w:lastColumn="0" w:noHBand="0" w:noVBand="1"/>
      </w:tblPr>
      <w:tblGrid>
        <w:gridCol w:w="1851"/>
        <w:gridCol w:w="1565"/>
        <w:gridCol w:w="1568"/>
        <w:gridCol w:w="1564"/>
      </w:tblGrid>
      <w:tr w:rsidR="00A25370" w:rsidRPr="005C04BE" w14:paraId="690DEC85" w14:textId="77777777" w:rsidTr="00363DF1">
        <w:tc>
          <w:tcPr>
            <w:tcW w:w="141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D741F7" w14:textId="77777777" w:rsidR="00A25370" w:rsidRPr="00873817" w:rsidRDefault="00A25370" w:rsidP="00CB6A89">
            <w:pPr>
              <w:contextualSpacing/>
              <w:rPr>
                <w:b/>
                <w:sz w:val="24"/>
                <w:szCs w:val="24"/>
              </w:rPr>
            </w:pPr>
            <w:r w:rsidRPr="00873817">
              <w:rPr>
                <w:b/>
                <w:sz w:val="24"/>
                <w:szCs w:val="24"/>
              </w:rPr>
              <w:t>Tuition Fee Charged</w:t>
            </w:r>
          </w:p>
        </w:tc>
        <w:tc>
          <w:tcPr>
            <w:tcW w:w="1195"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70A67C3" w14:textId="77777777" w:rsidR="00A25370" w:rsidRPr="00873817" w:rsidRDefault="00A25370" w:rsidP="00CB6A89">
            <w:pPr>
              <w:contextualSpacing/>
              <w:rPr>
                <w:b/>
                <w:sz w:val="24"/>
                <w:szCs w:val="24"/>
              </w:rPr>
            </w:pPr>
            <w:r w:rsidRPr="00873817">
              <w:rPr>
                <w:b/>
                <w:sz w:val="24"/>
                <w:szCs w:val="24"/>
              </w:rPr>
              <w:t>Liability Point 1</w:t>
            </w:r>
          </w:p>
        </w:tc>
        <w:tc>
          <w:tcPr>
            <w:tcW w:w="1197"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253B852C" w14:textId="77777777" w:rsidR="00A25370" w:rsidRPr="00873817" w:rsidRDefault="00A25370" w:rsidP="00CB6A89">
            <w:pPr>
              <w:contextualSpacing/>
              <w:rPr>
                <w:b/>
                <w:sz w:val="24"/>
                <w:szCs w:val="24"/>
              </w:rPr>
            </w:pPr>
            <w:r w:rsidRPr="00873817">
              <w:rPr>
                <w:b/>
                <w:sz w:val="24"/>
                <w:szCs w:val="24"/>
              </w:rPr>
              <w:t xml:space="preserve">Liability  </w:t>
            </w:r>
          </w:p>
          <w:p w14:paraId="7770C0F2" w14:textId="77777777" w:rsidR="00A25370" w:rsidRPr="00873817" w:rsidRDefault="00A25370" w:rsidP="00CB6A89">
            <w:pPr>
              <w:contextualSpacing/>
              <w:rPr>
                <w:b/>
                <w:sz w:val="24"/>
                <w:szCs w:val="24"/>
              </w:rPr>
            </w:pPr>
            <w:r w:rsidRPr="00873817">
              <w:rPr>
                <w:b/>
                <w:sz w:val="24"/>
                <w:szCs w:val="24"/>
              </w:rPr>
              <w:t>Point 2</w:t>
            </w:r>
          </w:p>
        </w:tc>
        <w:tc>
          <w:tcPr>
            <w:tcW w:w="1194" w:type="pct"/>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3BA70D8F" w14:textId="77777777" w:rsidR="00A25370" w:rsidRPr="00873817" w:rsidRDefault="00A25370" w:rsidP="00CB6A89">
            <w:pPr>
              <w:contextualSpacing/>
              <w:rPr>
                <w:b/>
                <w:sz w:val="24"/>
                <w:szCs w:val="24"/>
              </w:rPr>
            </w:pPr>
            <w:r w:rsidRPr="00873817">
              <w:rPr>
                <w:b/>
                <w:sz w:val="24"/>
                <w:szCs w:val="24"/>
              </w:rPr>
              <w:t>Liability</w:t>
            </w:r>
          </w:p>
          <w:p w14:paraId="12BFF45A" w14:textId="77777777" w:rsidR="00A25370" w:rsidRPr="00873817" w:rsidRDefault="00A25370" w:rsidP="00CB6A89">
            <w:pPr>
              <w:contextualSpacing/>
              <w:rPr>
                <w:b/>
                <w:sz w:val="24"/>
                <w:szCs w:val="24"/>
              </w:rPr>
            </w:pPr>
            <w:r w:rsidRPr="00873817">
              <w:rPr>
                <w:b/>
                <w:sz w:val="24"/>
                <w:szCs w:val="24"/>
              </w:rPr>
              <w:t>Point 3</w:t>
            </w:r>
          </w:p>
        </w:tc>
      </w:tr>
      <w:tr w:rsidR="00A25370" w:rsidRPr="005C04BE" w14:paraId="12B4A256" w14:textId="77777777" w:rsidTr="00363DF1">
        <w:tc>
          <w:tcPr>
            <w:tcW w:w="1413" w:type="pct"/>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37A3A0" w14:textId="77777777" w:rsidR="00A25370" w:rsidRPr="00873817" w:rsidRDefault="00A25370" w:rsidP="00CB6A89">
            <w:pPr>
              <w:contextualSpacing/>
              <w:rPr>
                <w:sz w:val="24"/>
                <w:szCs w:val="24"/>
              </w:rPr>
            </w:pPr>
            <w:r w:rsidRPr="00873817">
              <w:rPr>
                <w:sz w:val="24"/>
                <w:szCs w:val="24"/>
              </w:rPr>
              <w:t>£9250</w:t>
            </w:r>
          </w:p>
        </w:tc>
        <w:tc>
          <w:tcPr>
            <w:tcW w:w="1195"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2F8D0DE3" w14:textId="77777777" w:rsidR="00A25370" w:rsidRPr="00873817" w:rsidRDefault="00A25370" w:rsidP="00CB6A89">
            <w:pPr>
              <w:contextualSpacing/>
              <w:rPr>
                <w:sz w:val="24"/>
                <w:szCs w:val="24"/>
              </w:rPr>
            </w:pPr>
            <w:r w:rsidRPr="00873817">
              <w:rPr>
                <w:sz w:val="24"/>
                <w:szCs w:val="24"/>
              </w:rPr>
              <w:t>£2312.50</w:t>
            </w:r>
          </w:p>
        </w:tc>
        <w:tc>
          <w:tcPr>
            <w:tcW w:w="1197"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515A925C" w14:textId="77777777" w:rsidR="00A25370" w:rsidRPr="00873817" w:rsidRDefault="00A25370" w:rsidP="00CB6A89">
            <w:pPr>
              <w:contextualSpacing/>
              <w:rPr>
                <w:sz w:val="24"/>
                <w:szCs w:val="24"/>
              </w:rPr>
            </w:pPr>
            <w:r w:rsidRPr="00873817">
              <w:rPr>
                <w:sz w:val="24"/>
                <w:szCs w:val="24"/>
              </w:rPr>
              <w:t>£4625</w:t>
            </w:r>
          </w:p>
        </w:tc>
        <w:tc>
          <w:tcPr>
            <w:tcW w:w="1194" w:type="pct"/>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hideMark/>
          </w:tcPr>
          <w:p w14:paraId="1AADA58C" w14:textId="77777777" w:rsidR="00A25370" w:rsidRPr="00873817" w:rsidRDefault="00A25370" w:rsidP="00CB6A89">
            <w:pPr>
              <w:contextualSpacing/>
              <w:rPr>
                <w:sz w:val="24"/>
                <w:szCs w:val="24"/>
              </w:rPr>
            </w:pPr>
            <w:r w:rsidRPr="00873817">
              <w:rPr>
                <w:sz w:val="24"/>
                <w:szCs w:val="24"/>
              </w:rPr>
              <w:t>£9250</w:t>
            </w:r>
          </w:p>
        </w:tc>
      </w:tr>
    </w:tbl>
    <w:p w14:paraId="0ECB91F9" w14:textId="77777777" w:rsidR="00A25370" w:rsidRPr="005C04BE" w:rsidRDefault="00A25370" w:rsidP="00A25370">
      <w:pPr>
        <w:contextualSpacing/>
        <w:rPr>
          <w:sz w:val="24"/>
          <w:szCs w:val="24"/>
          <w:lang w:val="en"/>
        </w:rPr>
      </w:pPr>
      <w:r w:rsidRPr="005C04BE">
        <w:rPr>
          <w:sz w:val="24"/>
          <w:szCs w:val="24"/>
          <w:lang w:val="en"/>
        </w:rPr>
        <w:t> </w:t>
      </w:r>
    </w:p>
    <w:p w14:paraId="32ABB8F4" w14:textId="77777777" w:rsidR="00A25370" w:rsidRPr="005C04BE" w:rsidRDefault="00A25370" w:rsidP="00A25370">
      <w:pPr>
        <w:contextualSpacing/>
        <w:rPr>
          <w:sz w:val="24"/>
          <w:szCs w:val="24"/>
          <w:lang w:val="en"/>
        </w:rPr>
      </w:pPr>
      <w:r w:rsidRPr="005C04BE">
        <w:rPr>
          <w:b/>
          <w:bCs/>
          <w:sz w:val="24"/>
          <w:szCs w:val="24"/>
          <w:lang w:val="en"/>
        </w:rPr>
        <w:t>Postgraduate Students</w:t>
      </w:r>
    </w:p>
    <w:p w14:paraId="25022DD4" w14:textId="187DF528" w:rsidR="00A25370" w:rsidRDefault="00A25370" w:rsidP="160EEAC3">
      <w:pPr>
        <w:contextualSpacing/>
        <w:rPr>
          <w:sz w:val="24"/>
          <w:szCs w:val="24"/>
          <w:lang w:val="en-US"/>
        </w:rPr>
      </w:pPr>
      <w:r w:rsidRPr="160EEAC3">
        <w:rPr>
          <w:sz w:val="24"/>
          <w:szCs w:val="24"/>
          <w:lang w:val="en-US"/>
        </w:rPr>
        <w:t>Students will be charged on a weekly basis for the proportion of the programme completed from the programme start date to the formal date of withdrawal, b</w:t>
      </w:r>
      <w:r w:rsidR="00D15465" w:rsidRPr="160EEAC3">
        <w:rPr>
          <w:sz w:val="24"/>
          <w:szCs w:val="24"/>
          <w:lang w:val="en-US"/>
        </w:rPr>
        <w:t xml:space="preserve">ased on a </w:t>
      </w:r>
      <w:proofErr w:type="gramStart"/>
      <w:r w:rsidR="00D15465" w:rsidRPr="160EEAC3">
        <w:rPr>
          <w:sz w:val="24"/>
          <w:szCs w:val="24"/>
          <w:lang w:val="en-US"/>
        </w:rPr>
        <w:t>45 week</w:t>
      </w:r>
      <w:proofErr w:type="gramEnd"/>
      <w:r w:rsidR="00D15465" w:rsidRPr="160EEAC3">
        <w:rPr>
          <w:sz w:val="24"/>
          <w:szCs w:val="24"/>
          <w:lang w:val="en-US"/>
        </w:rPr>
        <w:t xml:space="preserve"> academic year (with the exception of students being funded by Student Finance Northern Ireland, who will be charged in the same manner as UG).</w:t>
      </w:r>
    </w:p>
    <w:p w14:paraId="3332B0E9" w14:textId="77777777" w:rsidR="00D15465" w:rsidRPr="005C04BE" w:rsidRDefault="00D15465" w:rsidP="00A25370">
      <w:pPr>
        <w:contextualSpacing/>
        <w:rPr>
          <w:sz w:val="24"/>
          <w:szCs w:val="24"/>
          <w:lang w:val="en"/>
        </w:rPr>
      </w:pPr>
    </w:p>
    <w:p w14:paraId="5FA4EDF7" w14:textId="77777777" w:rsidR="00A25370" w:rsidRPr="005C04BE" w:rsidRDefault="00A25370" w:rsidP="00A25370">
      <w:pPr>
        <w:contextualSpacing/>
        <w:rPr>
          <w:sz w:val="24"/>
          <w:szCs w:val="24"/>
          <w:lang w:val="en"/>
        </w:rPr>
      </w:pPr>
      <w:r w:rsidRPr="005C04BE">
        <w:rPr>
          <w:sz w:val="24"/>
          <w:szCs w:val="24"/>
          <w:lang w:val="en"/>
        </w:rPr>
        <w:t>The fee for a research student ‘writing up’ is not reduced should the student withdraw.</w:t>
      </w:r>
    </w:p>
    <w:p w14:paraId="5549FACD" w14:textId="77777777" w:rsidR="00A25370" w:rsidRPr="005C04BE" w:rsidRDefault="00A25370" w:rsidP="00A25370">
      <w:pPr>
        <w:contextualSpacing/>
        <w:rPr>
          <w:b/>
          <w:bCs/>
          <w:sz w:val="24"/>
          <w:szCs w:val="24"/>
          <w:lang w:val="en"/>
        </w:rPr>
      </w:pPr>
    </w:p>
    <w:p w14:paraId="1227795F" w14:textId="77777777" w:rsidR="00A25370" w:rsidRPr="005C04BE" w:rsidRDefault="00A25370" w:rsidP="0751B2C1">
      <w:pPr>
        <w:contextualSpacing/>
        <w:rPr>
          <w:sz w:val="24"/>
          <w:szCs w:val="24"/>
          <w:lang w:val="en-US"/>
        </w:rPr>
      </w:pPr>
      <w:r w:rsidRPr="0751B2C1">
        <w:rPr>
          <w:b/>
          <w:bCs/>
          <w:sz w:val="24"/>
          <w:szCs w:val="24"/>
          <w:lang w:val="en-US"/>
        </w:rPr>
        <w:t xml:space="preserve">CPD’s or </w:t>
      </w:r>
      <w:proofErr w:type="spellStart"/>
      <w:r w:rsidRPr="0751B2C1">
        <w:rPr>
          <w:b/>
          <w:bCs/>
          <w:sz w:val="24"/>
          <w:szCs w:val="24"/>
          <w:lang w:val="en-US"/>
        </w:rPr>
        <w:t>Programmes</w:t>
      </w:r>
      <w:proofErr w:type="spellEnd"/>
      <w:r w:rsidRPr="0751B2C1">
        <w:rPr>
          <w:b/>
          <w:bCs/>
          <w:sz w:val="24"/>
          <w:szCs w:val="24"/>
          <w:lang w:val="en-US"/>
        </w:rPr>
        <w:t xml:space="preserve"> less than 15 weeks in Length</w:t>
      </w:r>
    </w:p>
    <w:p w14:paraId="0F67DE66" w14:textId="12CDBE1A" w:rsidR="00A25370" w:rsidRDefault="00A25370" w:rsidP="0751B2C1">
      <w:pPr>
        <w:contextualSpacing/>
        <w:rPr>
          <w:sz w:val="24"/>
          <w:szCs w:val="24"/>
          <w:lang w:val="en-US"/>
        </w:rPr>
      </w:pPr>
      <w:r w:rsidRPr="0751B2C1">
        <w:rPr>
          <w:sz w:val="24"/>
          <w:szCs w:val="24"/>
          <w:lang w:val="en-US"/>
        </w:rPr>
        <w:t xml:space="preserve">There is no fee reduction for short </w:t>
      </w:r>
      <w:proofErr w:type="spellStart"/>
      <w:r w:rsidRPr="0751B2C1">
        <w:rPr>
          <w:sz w:val="24"/>
          <w:szCs w:val="24"/>
          <w:lang w:val="en-US"/>
        </w:rPr>
        <w:t>programmes</w:t>
      </w:r>
      <w:proofErr w:type="spellEnd"/>
      <w:r w:rsidRPr="0751B2C1">
        <w:rPr>
          <w:sz w:val="24"/>
          <w:szCs w:val="24"/>
          <w:lang w:val="en-US"/>
        </w:rPr>
        <w:t xml:space="preserve"> if a student withdraws.</w:t>
      </w:r>
    </w:p>
    <w:p w14:paraId="7A02B0E7" w14:textId="5449765E" w:rsidR="002971AC" w:rsidRDefault="002971AC" w:rsidP="00A25370">
      <w:pPr>
        <w:contextualSpacing/>
        <w:rPr>
          <w:sz w:val="24"/>
          <w:szCs w:val="24"/>
          <w:lang w:val="en"/>
        </w:rPr>
      </w:pPr>
    </w:p>
    <w:p w14:paraId="0E535173" w14:textId="0BD3E3A3" w:rsidR="001E0E82" w:rsidRDefault="00A25370" w:rsidP="002255A1">
      <w:pPr>
        <w:contextualSpacing/>
        <w:rPr>
          <w:sz w:val="24"/>
          <w:szCs w:val="24"/>
          <w:lang w:val="en"/>
        </w:rPr>
      </w:pPr>
      <w:r w:rsidRPr="005C04BE">
        <w:rPr>
          <w:sz w:val="24"/>
          <w:szCs w:val="24"/>
          <w:lang w:val="en"/>
        </w:rPr>
        <w:t xml:space="preserve">If the student withdrawal date is </w:t>
      </w:r>
      <w:r w:rsidR="00363DF1" w:rsidRPr="005C04BE">
        <w:rPr>
          <w:sz w:val="24"/>
          <w:szCs w:val="24"/>
          <w:lang w:val="en"/>
        </w:rPr>
        <w:t>disputed, the</w:t>
      </w:r>
      <w:r w:rsidRPr="005C04BE">
        <w:rPr>
          <w:sz w:val="24"/>
          <w:szCs w:val="24"/>
          <w:lang w:val="en"/>
        </w:rPr>
        <w:t xml:space="preserve"> last recorded date on which University resources or facilities were used will be taken as the date of withdrawal.</w:t>
      </w:r>
      <w:r>
        <w:rPr>
          <w:sz w:val="24"/>
          <w:szCs w:val="24"/>
          <w:lang w:val="en"/>
        </w:rPr>
        <w:t xml:space="preserve"> </w:t>
      </w:r>
    </w:p>
    <w:p w14:paraId="00474FF3" w14:textId="02461668" w:rsidR="002255A1" w:rsidRDefault="003D3A4E" w:rsidP="002255A1">
      <w:pPr>
        <w:contextualSpacing/>
        <w:rPr>
          <w:color w:val="666666"/>
          <w:sz w:val="24"/>
          <w:szCs w:val="24"/>
          <w:lang w:val="en"/>
        </w:rPr>
      </w:pPr>
      <w:r w:rsidRPr="002C5F17">
        <w:rPr>
          <w:rFonts w:cs="Arial"/>
          <w:sz w:val="24"/>
          <w:szCs w:val="24"/>
          <w:lang w:val="en"/>
        </w:rPr>
        <w:t xml:space="preserve">Further details relating to withdrawal are available </w:t>
      </w:r>
      <w:r w:rsidRPr="002C5F17">
        <w:rPr>
          <w:sz w:val="24"/>
          <w:szCs w:val="24"/>
          <w:lang w:val="en"/>
        </w:rPr>
        <w:t xml:space="preserve">from </w:t>
      </w:r>
      <w:hyperlink r:id="rId14" w:history="1">
        <w:r w:rsidRPr="002C5F17">
          <w:rPr>
            <w:rFonts w:cs="Arial"/>
            <w:color w:val="0000FF"/>
            <w:sz w:val="24"/>
            <w:szCs w:val="24"/>
            <w:u w:val="single"/>
            <w:lang w:val="en"/>
          </w:rPr>
          <w:t>Registry Services</w:t>
        </w:r>
      </w:hyperlink>
      <w:r w:rsidRPr="002C5F17">
        <w:rPr>
          <w:sz w:val="24"/>
          <w:szCs w:val="24"/>
          <w:lang w:val="en"/>
        </w:rPr>
        <w:t>.</w:t>
      </w:r>
    </w:p>
    <w:p w14:paraId="152387D7" w14:textId="77777777" w:rsidR="002255A1" w:rsidRDefault="002255A1" w:rsidP="002255A1">
      <w:pPr>
        <w:contextualSpacing/>
        <w:rPr>
          <w:color w:val="666666"/>
          <w:sz w:val="24"/>
          <w:szCs w:val="24"/>
          <w:lang w:val="en"/>
        </w:rPr>
      </w:pPr>
    </w:p>
    <w:p w14:paraId="4F167C97" w14:textId="4AD2D433" w:rsidR="00144479" w:rsidRPr="00350BA1" w:rsidRDefault="00144479" w:rsidP="002255A1">
      <w:pPr>
        <w:contextualSpacing/>
        <w:rPr>
          <w:rFonts w:cs="Arial"/>
          <w:vanish/>
          <w:sz w:val="16"/>
          <w:szCs w:val="16"/>
          <w:lang w:eastAsia="zh-TW"/>
        </w:rPr>
      </w:pPr>
      <w:r w:rsidRPr="00350BA1">
        <w:rPr>
          <w:rFonts w:cs="Arial"/>
          <w:vanish/>
          <w:sz w:val="16"/>
          <w:szCs w:val="16"/>
          <w:lang w:eastAsia="zh-TW"/>
        </w:rPr>
        <w:t>Bottom of Form</w:t>
      </w:r>
    </w:p>
    <w:p w14:paraId="4F56DA3F" w14:textId="5F49A130" w:rsidR="006E1DF9" w:rsidRPr="00350BA1" w:rsidRDefault="006E1DF9" w:rsidP="00144479">
      <w:pPr>
        <w:widowControl w:val="0"/>
        <w:autoSpaceDE w:val="0"/>
        <w:autoSpaceDN w:val="0"/>
        <w:adjustRightInd w:val="0"/>
        <w:spacing w:line="227" w:lineRule="exact"/>
        <w:ind w:right="-20"/>
        <w:rPr>
          <w:rFonts w:cs="Arial"/>
          <w:i/>
          <w:sz w:val="24"/>
          <w:szCs w:val="24"/>
          <w:lang w:val="en-US"/>
        </w:rPr>
      </w:pPr>
    </w:p>
    <w:sectPr w:rsidR="006E1DF9" w:rsidRPr="00350BA1">
      <w:type w:val="continuous"/>
      <w:pgSz w:w="11920" w:h="16840"/>
      <w:pgMar w:top="980" w:right="1380" w:bottom="280"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E979" w14:textId="77777777" w:rsidR="00CE0DCB" w:rsidRDefault="00CE0DCB" w:rsidP="00BA5EC8">
      <w:pPr>
        <w:spacing w:before="0" w:after="0"/>
      </w:pPr>
      <w:r>
        <w:separator/>
      </w:r>
    </w:p>
  </w:endnote>
  <w:endnote w:type="continuationSeparator" w:id="0">
    <w:p w14:paraId="2F7F2DCC" w14:textId="77777777" w:rsidR="00CE0DCB" w:rsidRDefault="00CE0DCB" w:rsidP="00BA5E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A330" w14:textId="77777777" w:rsidR="00CE0DCB" w:rsidRDefault="00CE0DCB" w:rsidP="00BA5EC8">
      <w:pPr>
        <w:spacing w:before="0" w:after="0"/>
      </w:pPr>
      <w:r>
        <w:separator/>
      </w:r>
    </w:p>
  </w:footnote>
  <w:footnote w:type="continuationSeparator" w:id="0">
    <w:p w14:paraId="156178D6" w14:textId="77777777" w:rsidR="00CE0DCB" w:rsidRDefault="00CE0DCB" w:rsidP="00BA5EC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190B7B3E"/>
    <w:multiLevelType w:val="multilevel"/>
    <w:tmpl w:val="883A9F7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 w15:restartNumberingAfterBreak="0">
    <w:nsid w:val="441D4418"/>
    <w:multiLevelType w:val="hybridMultilevel"/>
    <w:tmpl w:val="5EBE332E"/>
    <w:lvl w:ilvl="0" w:tplc="F5DC9F5E">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324750">
    <w:abstractNumId w:val="2"/>
  </w:num>
  <w:num w:numId="2" w16cid:durableId="1178275619">
    <w:abstractNumId w:val="0"/>
  </w:num>
  <w:num w:numId="3" w16cid:durableId="497042494">
    <w:abstractNumId w:val="3"/>
  </w:num>
  <w:num w:numId="4" w16cid:durableId="158506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B7"/>
    <w:rsid w:val="00014D83"/>
    <w:rsid w:val="000475C1"/>
    <w:rsid w:val="00066A3F"/>
    <w:rsid w:val="000679FB"/>
    <w:rsid w:val="000761B3"/>
    <w:rsid w:val="000971E4"/>
    <w:rsid w:val="000B5269"/>
    <w:rsid w:val="000D106D"/>
    <w:rsid w:val="0010053A"/>
    <w:rsid w:val="00106081"/>
    <w:rsid w:val="0013460A"/>
    <w:rsid w:val="00144479"/>
    <w:rsid w:val="0016041B"/>
    <w:rsid w:val="0019788F"/>
    <w:rsid w:val="001A00A2"/>
    <w:rsid w:val="001B0B1F"/>
    <w:rsid w:val="001E080E"/>
    <w:rsid w:val="001E0E82"/>
    <w:rsid w:val="001F5A0C"/>
    <w:rsid w:val="00205AB4"/>
    <w:rsid w:val="00211BCF"/>
    <w:rsid w:val="002255A1"/>
    <w:rsid w:val="00245D31"/>
    <w:rsid w:val="002971AC"/>
    <w:rsid w:val="002D2715"/>
    <w:rsid w:val="00350BA1"/>
    <w:rsid w:val="00363DF1"/>
    <w:rsid w:val="003778D1"/>
    <w:rsid w:val="00377CDA"/>
    <w:rsid w:val="003C44D4"/>
    <w:rsid w:val="003D3A4E"/>
    <w:rsid w:val="003D67FF"/>
    <w:rsid w:val="00404F98"/>
    <w:rsid w:val="00431497"/>
    <w:rsid w:val="00485557"/>
    <w:rsid w:val="004A1088"/>
    <w:rsid w:val="004C3A1D"/>
    <w:rsid w:val="004E2060"/>
    <w:rsid w:val="00506340"/>
    <w:rsid w:val="005403B0"/>
    <w:rsid w:val="005449A2"/>
    <w:rsid w:val="00564DFF"/>
    <w:rsid w:val="005A7D3C"/>
    <w:rsid w:val="005E7796"/>
    <w:rsid w:val="00625BB4"/>
    <w:rsid w:val="00655453"/>
    <w:rsid w:val="006859B7"/>
    <w:rsid w:val="006E1DF9"/>
    <w:rsid w:val="007301A6"/>
    <w:rsid w:val="00733344"/>
    <w:rsid w:val="00737475"/>
    <w:rsid w:val="007627E0"/>
    <w:rsid w:val="00784714"/>
    <w:rsid w:val="007B29EA"/>
    <w:rsid w:val="007D116A"/>
    <w:rsid w:val="007D59C7"/>
    <w:rsid w:val="00813FA4"/>
    <w:rsid w:val="0081469A"/>
    <w:rsid w:val="00854394"/>
    <w:rsid w:val="008679A9"/>
    <w:rsid w:val="00873817"/>
    <w:rsid w:val="008A539A"/>
    <w:rsid w:val="008D5950"/>
    <w:rsid w:val="008E5611"/>
    <w:rsid w:val="009A1357"/>
    <w:rsid w:val="009D3C04"/>
    <w:rsid w:val="009E64A4"/>
    <w:rsid w:val="00A016EE"/>
    <w:rsid w:val="00A11AB3"/>
    <w:rsid w:val="00A12A12"/>
    <w:rsid w:val="00A25370"/>
    <w:rsid w:val="00A411D2"/>
    <w:rsid w:val="00A63A64"/>
    <w:rsid w:val="00AB159A"/>
    <w:rsid w:val="00AE1B2F"/>
    <w:rsid w:val="00AF204F"/>
    <w:rsid w:val="00B013EE"/>
    <w:rsid w:val="00B23FBB"/>
    <w:rsid w:val="00BA5EC8"/>
    <w:rsid w:val="00BC76A1"/>
    <w:rsid w:val="00BE5B24"/>
    <w:rsid w:val="00BE780B"/>
    <w:rsid w:val="00C2221C"/>
    <w:rsid w:val="00C267F5"/>
    <w:rsid w:val="00C93316"/>
    <w:rsid w:val="00CA562E"/>
    <w:rsid w:val="00CC33C4"/>
    <w:rsid w:val="00CD53E0"/>
    <w:rsid w:val="00CE05CD"/>
    <w:rsid w:val="00CE0DCB"/>
    <w:rsid w:val="00CE6E2D"/>
    <w:rsid w:val="00CF07C0"/>
    <w:rsid w:val="00CF2116"/>
    <w:rsid w:val="00CF3CCE"/>
    <w:rsid w:val="00D15465"/>
    <w:rsid w:val="00D515EC"/>
    <w:rsid w:val="00D95EA5"/>
    <w:rsid w:val="00DA13EF"/>
    <w:rsid w:val="00DB7950"/>
    <w:rsid w:val="00DC0F2A"/>
    <w:rsid w:val="00E947AB"/>
    <w:rsid w:val="00EC64DC"/>
    <w:rsid w:val="00F35C74"/>
    <w:rsid w:val="00F57D12"/>
    <w:rsid w:val="00F65E1C"/>
    <w:rsid w:val="00F7789B"/>
    <w:rsid w:val="00F936A3"/>
    <w:rsid w:val="00F945BF"/>
    <w:rsid w:val="00F95BF0"/>
    <w:rsid w:val="00FA3F13"/>
    <w:rsid w:val="00FF3773"/>
    <w:rsid w:val="0751B2C1"/>
    <w:rsid w:val="160EE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6DA0F"/>
  <w14:defaultImageDpi w14:val="0"/>
  <w15:docId w15:val="{AD9519E6-3A3F-4036-96C2-A1C0DFA0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2D"/>
    <w:pPr>
      <w:spacing w:before="120" w:after="120"/>
    </w:pPr>
    <w:rPr>
      <w:rFonts w:ascii="Arial" w:hAnsi="Arial"/>
      <w:sz w:val="22"/>
      <w:lang w:eastAsia="en-US"/>
    </w:rPr>
  </w:style>
  <w:style w:type="paragraph" w:styleId="Heading1">
    <w:name w:val="heading 1"/>
    <w:basedOn w:val="Normal"/>
    <w:next w:val="Normal"/>
    <w:link w:val="Heading1Char"/>
    <w:uiPriority w:val="9"/>
    <w:qFormat/>
    <w:rsid w:val="00BE5B24"/>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0761B3"/>
    <w:pPr>
      <w:keepNext/>
      <w:keepLines/>
      <w:numPr>
        <w:numId w:val="4"/>
      </w:numPr>
      <w:tabs>
        <w:tab w:val="left" w:pos="0"/>
        <w:tab w:val="left" w:pos="567"/>
      </w:tabs>
      <w:spacing w:before="0"/>
      <w:outlineLvl w:val="1"/>
    </w:pPr>
    <w:rPr>
      <w:rFonts w:asciiTheme="majorHAnsi" w:eastAsiaTheme="majorEastAsia" w:hAnsiTheme="majorHAnsi" w:cstheme="majorBidi"/>
      <w:b/>
      <w:color w:val="000000" w:themeColor="text1"/>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EC8"/>
    <w:pPr>
      <w:tabs>
        <w:tab w:val="center" w:pos="4513"/>
        <w:tab w:val="right" w:pos="9026"/>
      </w:tabs>
    </w:pPr>
  </w:style>
  <w:style w:type="character" w:customStyle="1" w:styleId="HeaderChar">
    <w:name w:val="Header Char"/>
    <w:basedOn w:val="DefaultParagraphFont"/>
    <w:link w:val="Header"/>
    <w:uiPriority w:val="99"/>
    <w:rsid w:val="00BA5EC8"/>
    <w:rPr>
      <w:lang w:eastAsia="en-US"/>
    </w:rPr>
  </w:style>
  <w:style w:type="paragraph" w:styleId="Footer">
    <w:name w:val="footer"/>
    <w:basedOn w:val="Normal"/>
    <w:link w:val="FooterChar"/>
    <w:uiPriority w:val="99"/>
    <w:rsid w:val="00BA5EC8"/>
    <w:pPr>
      <w:tabs>
        <w:tab w:val="center" w:pos="4513"/>
        <w:tab w:val="right" w:pos="9026"/>
      </w:tabs>
    </w:pPr>
  </w:style>
  <w:style w:type="character" w:customStyle="1" w:styleId="FooterChar">
    <w:name w:val="Footer Char"/>
    <w:basedOn w:val="DefaultParagraphFont"/>
    <w:link w:val="Footer"/>
    <w:uiPriority w:val="99"/>
    <w:rsid w:val="00BA5EC8"/>
    <w:rPr>
      <w:lang w:eastAsia="en-US"/>
    </w:rPr>
  </w:style>
  <w:style w:type="table" w:styleId="TableGrid">
    <w:name w:val="Table Grid"/>
    <w:basedOn w:val="TableNormal"/>
    <w:uiPriority w:val="59"/>
    <w:rsid w:val="00BA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B24"/>
    <w:rPr>
      <w:rFonts w:asciiTheme="majorHAnsi" w:eastAsiaTheme="majorEastAsia" w:hAnsiTheme="majorHAnsi" w:cstheme="majorBidi"/>
      <w:color w:val="000000" w:themeColor="text1"/>
      <w:sz w:val="32"/>
      <w:szCs w:val="32"/>
      <w:lang w:eastAsia="en-US"/>
    </w:rPr>
  </w:style>
  <w:style w:type="character" w:customStyle="1" w:styleId="Heading2Char">
    <w:name w:val="Heading 2 Char"/>
    <w:basedOn w:val="DefaultParagraphFont"/>
    <w:link w:val="Heading2"/>
    <w:uiPriority w:val="9"/>
    <w:rsid w:val="000761B3"/>
    <w:rPr>
      <w:rFonts w:asciiTheme="majorHAnsi" w:eastAsiaTheme="majorEastAsia" w:hAnsiTheme="majorHAnsi" w:cstheme="majorBidi"/>
      <w:b/>
      <w:color w:val="000000" w:themeColor="text1"/>
      <w:sz w:val="26"/>
      <w:szCs w:val="26"/>
      <w:lang w:val="en" w:eastAsia="en-US"/>
    </w:rPr>
  </w:style>
  <w:style w:type="paragraph" w:styleId="BalloonText">
    <w:name w:val="Balloon Text"/>
    <w:basedOn w:val="Normal"/>
    <w:link w:val="BalloonTextChar"/>
    <w:uiPriority w:val="99"/>
    <w:rsid w:val="001060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106081"/>
    <w:rPr>
      <w:rFonts w:ascii="Tahoma" w:hAnsi="Tahoma" w:cs="Tahoma"/>
      <w:sz w:val="16"/>
      <w:szCs w:val="16"/>
      <w:lang w:eastAsia="en-US"/>
    </w:rPr>
  </w:style>
  <w:style w:type="character" w:styleId="Hyperlink">
    <w:name w:val="Hyperlink"/>
    <w:basedOn w:val="DefaultParagraphFont"/>
    <w:uiPriority w:val="99"/>
    <w:semiHidden/>
    <w:unhideWhenUsed/>
    <w:rsid w:val="00144479"/>
    <w:rPr>
      <w:color w:val="0000FF"/>
      <w:u w:val="single"/>
    </w:rPr>
  </w:style>
  <w:style w:type="paragraph" w:styleId="z-TopofForm">
    <w:name w:val="HTML Top of Form"/>
    <w:basedOn w:val="Normal"/>
    <w:next w:val="Normal"/>
    <w:link w:val="z-TopofFormChar"/>
    <w:hidden/>
    <w:uiPriority w:val="99"/>
    <w:semiHidden/>
    <w:unhideWhenUsed/>
    <w:rsid w:val="00144479"/>
    <w:pPr>
      <w:pBdr>
        <w:bottom w:val="single" w:sz="6" w:space="1" w:color="auto"/>
      </w:pBdr>
      <w:spacing w:before="0" w:after="0"/>
      <w:jc w:val="center"/>
    </w:pPr>
    <w:rPr>
      <w:rFonts w:cs="Arial"/>
      <w:vanish/>
      <w:sz w:val="16"/>
      <w:szCs w:val="16"/>
      <w:lang w:eastAsia="zh-TW"/>
    </w:rPr>
  </w:style>
  <w:style w:type="character" w:customStyle="1" w:styleId="z-TopofFormChar">
    <w:name w:val="z-Top of Form Char"/>
    <w:basedOn w:val="DefaultParagraphFont"/>
    <w:link w:val="z-TopofForm"/>
    <w:uiPriority w:val="99"/>
    <w:semiHidden/>
    <w:rsid w:val="0014447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44479"/>
    <w:pPr>
      <w:pBdr>
        <w:top w:val="single" w:sz="6" w:space="1" w:color="auto"/>
      </w:pBdr>
      <w:spacing w:before="0" w:after="0"/>
      <w:jc w:val="center"/>
    </w:pPr>
    <w:rPr>
      <w:rFonts w:cs="Arial"/>
      <w:vanish/>
      <w:sz w:val="16"/>
      <w:szCs w:val="16"/>
      <w:lang w:eastAsia="zh-TW"/>
    </w:rPr>
  </w:style>
  <w:style w:type="character" w:customStyle="1" w:styleId="z-BottomofFormChar">
    <w:name w:val="z-Bottom of Form Char"/>
    <w:basedOn w:val="DefaultParagraphFont"/>
    <w:link w:val="z-BottomofForm"/>
    <w:uiPriority w:val="99"/>
    <w:semiHidden/>
    <w:rsid w:val="00144479"/>
    <w:rPr>
      <w:rFonts w:ascii="Arial" w:hAnsi="Arial" w:cs="Arial"/>
      <w:vanish/>
      <w:sz w:val="16"/>
      <w:szCs w:val="16"/>
    </w:rPr>
  </w:style>
  <w:style w:type="character" w:styleId="FollowedHyperlink">
    <w:name w:val="FollowedHyperlink"/>
    <w:basedOn w:val="DefaultParagraphFont"/>
    <w:uiPriority w:val="99"/>
    <w:semiHidden/>
    <w:unhideWhenUsed/>
    <w:rsid w:val="005449A2"/>
    <w:rPr>
      <w:color w:val="800080" w:themeColor="followedHyperlink"/>
      <w:u w:val="single"/>
    </w:rPr>
  </w:style>
  <w:style w:type="paragraph" w:styleId="Revision">
    <w:name w:val="Revision"/>
    <w:hidden/>
    <w:uiPriority w:val="99"/>
    <w:semiHidden/>
    <w:rsid w:val="00625BB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7672">
      <w:bodyDiv w:val="1"/>
      <w:marLeft w:val="0"/>
      <w:marRight w:val="0"/>
      <w:marTop w:val="0"/>
      <w:marBottom w:val="0"/>
      <w:divBdr>
        <w:top w:val="none" w:sz="0" w:space="0" w:color="auto"/>
        <w:left w:val="none" w:sz="0" w:space="0" w:color="auto"/>
        <w:bottom w:val="none" w:sz="0" w:space="0" w:color="auto"/>
        <w:right w:val="none" w:sz="0" w:space="0" w:color="auto"/>
      </w:divBdr>
    </w:div>
    <w:div w:id="905724986">
      <w:bodyDiv w:val="1"/>
      <w:marLeft w:val="0"/>
      <w:marRight w:val="0"/>
      <w:marTop w:val="0"/>
      <w:marBottom w:val="0"/>
      <w:divBdr>
        <w:top w:val="none" w:sz="0" w:space="0" w:color="auto"/>
        <w:left w:val="none" w:sz="0" w:space="0" w:color="auto"/>
        <w:bottom w:val="none" w:sz="0" w:space="0" w:color="auto"/>
        <w:right w:val="none" w:sz="0" w:space="0" w:color="auto"/>
      </w:divBdr>
    </w:div>
    <w:div w:id="1277909608">
      <w:bodyDiv w:val="1"/>
      <w:marLeft w:val="0"/>
      <w:marRight w:val="0"/>
      <w:marTop w:val="0"/>
      <w:marBottom w:val="0"/>
      <w:divBdr>
        <w:top w:val="none" w:sz="0" w:space="0" w:color="auto"/>
        <w:left w:val="none" w:sz="0" w:space="0" w:color="auto"/>
        <w:bottom w:val="none" w:sz="0" w:space="0" w:color="auto"/>
        <w:right w:val="none" w:sz="0" w:space="0" w:color="auto"/>
      </w:divBdr>
      <w:divsChild>
        <w:div w:id="642465248">
          <w:marLeft w:val="75"/>
          <w:marRight w:val="75"/>
          <w:marTop w:val="75"/>
          <w:marBottom w:val="0"/>
          <w:divBdr>
            <w:top w:val="single" w:sz="48" w:space="0" w:color="EAEAEA"/>
            <w:left w:val="single" w:sz="48" w:space="8" w:color="EAEAEA"/>
            <w:bottom w:val="single" w:sz="48" w:space="0" w:color="EAEAEA"/>
            <w:right w:val="single" w:sz="48" w:space="8" w:color="EAEAEA"/>
          </w:divBdr>
          <w:divsChild>
            <w:div w:id="434137333">
              <w:marLeft w:val="0"/>
              <w:marRight w:val="0"/>
              <w:marTop w:val="540"/>
              <w:marBottom w:val="0"/>
              <w:divBdr>
                <w:top w:val="none" w:sz="0" w:space="0" w:color="auto"/>
                <w:left w:val="none" w:sz="0" w:space="0" w:color="auto"/>
                <w:bottom w:val="none" w:sz="0" w:space="0" w:color="auto"/>
                <w:right w:val="none" w:sz="0" w:space="0" w:color="auto"/>
              </w:divBdr>
              <w:divsChild>
                <w:div w:id="2014261332">
                  <w:marLeft w:val="3000"/>
                  <w:marRight w:val="2910"/>
                  <w:marTop w:val="0"/>
                  <w:marBottom w:val="0"/>
                  <w:divBdr>
                    <w:top w:val="single" w:sz="6" w:space="0" w:color="CCCCCC"/>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jmu.ac.uk/academic-registry/student/registry-services/registry-services-quer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jmu.ac.uk/academic-registry/student/registry-services/student-fin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jmu.ac.uk/academic-registry/student/registry-services/registry-services-qu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ebb90f28-840e-440c-a82a-6c520705e3fa">
      <Terms xmlns="http://schemas.microsoft.com/office/infopath/2007/PartnerControls"/>
    </lcf76f155ced4ddcb4097134ff3c332f>
    <TaxCatchAll xmlns="111887eb-b09f-4c73-b8d0-0db465ddda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3691F0B4C65E4C85975D8CF05494AB" ma:contentTypeVersion="13" ma:contentTypeDescription="Create a new document." ma:contentTypeScope="" ma:versionID="f9de527a0412cdc878e59aa4b870d2e9">
  <xsd:schema xmlns:xsd="http://www.w3.org/2001/XMLSchema" xmlns:xs="http://www.w3.org/2001/XMLSchema" xmlns:p="http://schemas.microsoft.com/office/2006/metadata/properties" xmlns:ns2="ebb90f28-840e-440c-a82a-6c520705e3fa" xmlns:ns3="111887eb-b09f-4c73-b8d0-0db465ddda12" targetNamespace="http://schemas.microsoft.com/office/2006/metadata/properties" ma:root="true" ma:fieldsID="ed5d2893c702035469d1438aa16b0c05" ns2:_="" ns3:_="">
    <xsd:import namespace="ebb90f28-840e-440c-a82a-6c520705e3fa"/>
    <xsd:import namespace="111887eb-b09f-4c73-b8d0-0db465ddda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90f28-840e-440c-a82a-6c520705e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1887eb-b09f-4c73-b8d0-0db465ddda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b1f125-3bf2-48c8-9cd4-6b9fe52e9e48}" ma:internalName="TaxCatchAll" ma:showField="CatchAllData" ma:web="111887eb-b09f-4c73-b8d0-0db465ddda1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5F547-CB64-476C-A38D-DB88E8CC82D8}">
  <ds:schemaRefs>
    <ds:schemaRef ds:uri="http://schemas.microsoft.com/office/2006/metadata/properties"/>
    <ds:schemaRef ds:uri="ebb90f28-840e-440c-a82a-6c520705e3fa"/>
    <ds:schemaRef ds:uri="http://schemas.microsoft.com/office/infopath/2007/PartnerControls"/>
    <ds:schemaRef ds:uri="111887eb-b09f-4c73-b8d0-0db465ddda12"/>
  </ds:schemaRefs>
</ds:datastoreItem>
</file>

<file path=customXml/itemProps2.xml><?xml version="1.0" encoding="utf-8"?>
<ds:datastoreItem xmlns:ds="http://schemas.openxmlformats.org/officeDocument/2006/customXml" ds:itemID="{BD75AF54-5C0C-4833-B0B8-21F16208E819}">
  <ds:schemaRefs>
    <ds:schemaRef ds:uri="http://schemas.microsoft.com/sharepoint/v3/contenttype/forms"/>
  </ds:schemaRefs>
</ds:datastoreItem>
</file>

<file path=customXml/itemProps3.xml><?xml version="1.0" encoding="utf-8"?>
<ds:datastoreItem xmlns:ds="http://schemas.openxmlformats.org/officeDocument/2006/customXml" ds:itemID="{B9A75CB5-D9EB-44D2-B0C3-FD48BBF67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90f28-840e-440c-a82a-6c520705e3fa"/>
    <ds:schemaRef ds:uri="111887eb-b09f-4c73-b8d0-0db465dd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75975-03CA-4F94-9D7B-47791396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791</Words>
  <Characters>4448</Characters>
  <Application>Microsoft Office Word</Application>
  <DocSecurity>4</DocSecurity>
  <Lines>37</Lines>
  <Paragraphs>10</Paragraphs>
  <ScaleCrop>false</ScaleCrop>
  <Company>Liverpool John Moores University</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Swaisland, Carol</dc:creator>
  <cp:lastModifiedBy>Breen, Claire</cp:lastModifiedBy>
  <cp:revision>2</cp:revision>
  <cp:lastPrinted>2016-04-27T11:56:00Z</cp:lastPrinted>
  <dcterms:created xsi:type="dcterms:W3CDTF">2024-07-22T08:27:00Z</dcterms:created>
  <dcterms:modified xsi:type="dcterms:W3CDTF">2024-07-22T08:27:00Z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0x01010003D5FD85439F954FB33E1DC0B5F8CABF</vt:lpwstr>
  </property>
</Properties>
</file>