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F6" w:rsidRPr="00F63F46" w:rsidRDefault="003663F6" w:rsidP="00F81842">
      <w:pPr>
        <w:adjustRightInd w:val="0"/>
        <w:spacing w:before="98" w:after="120"/>
        <w:ind w:right="-20"/>
        <w:jc w:val="center"/>
        <w:rPr>
          <w:rFonts w:ascii="Arial" w:eastAsia="Times New Roman" w:hAnsi="Arial" w:cs="Times New Roman"/>
          <w:szCs w:val="20"/>
          <w:lang w:val="en-US"/>
        </w:rPr>
      </w:pPr>
      <w:r w:rsidRPr="00F63F46">
        <w:rPr>
          <w:rFonts w:ascii="Arial" w:eastAsia="Times New Roman" w:hAnsi="Arial" w:cs="Times New Roman"/>
          <w:noProof/>
          <w:sz w:val="24"/>
          <w:szCs w:val="24"/>
          <w:lang w:eastAsia="en-GB"/>
        </w:rPr>
        <w:drawing>
          <wp:inline distT="0" distB="0" distL="0" distR="0" wp14:anchorId="14A793A0" wp14:editId="7BD72216">
            <wp:extent cx="2087217" cy="6000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10" cy="6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0"/>
        <w:gridCol w:w="30"/>
      </w:tblGrid>
      <w:tr w:rsidR="003663F6" w:rsidRPr="00F63F46" w:rsidTr="00E22883">
        <w:trPr>
          <w:cantSplit/>
          <w:trHeight w:hRule="exact" w:val="1247"/>
        </w:trPr>
        <w:tc>
          <w:tcPr>
            <w:tcW w:w="9381" w:type="dxa"/>
            <w:gridSpan w:val="3"/>
            <w:shd w:val="clear" w:color="auto" w:fill="D9D9D9"/>
            <w:vAlign w:val="center"/>
          </w:tcPr>
          <w:p w:rsidR="003663F6" w:rsidRPr="00F63F46" w:rsidRDefault="003663F6" w:rsidP="004F2E88">
            <w:pPr>
              <w:tabs>
                <w:tab w:val="left" w:pos="4536"/>
              </w:tabs>
              <w:adjustRightInd w:val="0"/>
              <w:spacing w:before="240" w:after="240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val="en-US"/>
              </w:rPr>
              <w:t>S</w:t>
            </w:r>
            <w:r w:rsidR="0040110E">
              <w:rPr>
                <w:rFonts w:ascii="Arial" w:eastAsia="Times New Roman" w:hAnsi="Arial" w:cs="Arial"/>
                <w:b/>
                <w:sz w:val="40"/>
                <w:szCs w:val="40"/>
                <w:lang w:val="en-US"/>
              </w:rPr>
              <w:t>OP009</w:t>
            </w:r>
            <w:r w:rsidR="00E44ADF">
              <w:rPr>
                <w:rFonts w:ascii="Arial" w:eastAsia="Times New Roman" w:hAnsi="Arial" w:cs="Arial"/>
                <w:b/>
                <w:sz w:val="40"/>
                <w:szCs w:val="40"/>
                <w:lang w:val="en-US"/>
              </w:rPr>
              <w:t xml:space="preserve"> </w:t>
            </w:r>
            <w:r w:rsidR="004F2E88">
              <w:rPr>
                <w:rFonts w:ascii="Arial" w:eastAsia="Times New Roman" w:hAnsi="Arial" w:cs="Arial"/>
                <w:b/>
                <w:sz w:val="40"/>
                <w:szCs w:val="40"/>
                <w:lang w:val="en-US"/>
              </w:rPr>
              <w:t>Study</w:t>
            </w:r>
            <w:r w:rsidR="00E44ADF">
              <w:rPr>
                <w:rFonts w:ascii="Arial" w:eastAsia="Times New Roman" w:hAnsi="Arial" w:cs="Arial"/>
                <w:b/>
                <w:sz w:val="40"/>
                <w:szCs w:val="40"/>
                <w:lang w:val="en-US"/>
              </w:rPr>
              <w:t xml:space="preserve"> Amendments for </w:t>
            </w:r>
            <w:r>
              <w:rPr>
                <w:rFonts w:ascii="Arial" w:eastAsia="Times New Roman" w:hAnsi="Arial" w:cs="Arial"/>
                <w:b/>
                <w:sz w:val="40"/>
                <w:szCs w:val="40"/>
                <w:lang w:val="en-US"/>
              </w:rPr>
              <w:t>L</w:t>
            </w:r>
            <w:r w:rsidR="00E44ADF">
              <w:rPr>
                <w:rFonts w:ascii="Arial" w:eastAsia="Times New Roman" w:hAnsi="Arial" w:cs="Arial"/>
                <w:b/>
                <w:sz w:val="40"/>
                <w:szCs w:val="40"/>
                <w:lang w:val="en-US"/>
              </w:rPr>
              <w:t>JMU Sponsored Clinical Research</w:t>
            </w: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4111" w:type="dxa"/>
            <w:shd w:val="clear" w:color="auto" w:fill="D9D9D9"/>
            <w:vAlign w:val="center"/>
          </w:tcPr>
          <w:p w:rsidR="003663F6" w:rsidRPr="0030453A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30453A">
              <w:rPr>
                <w:rFonts w:eastAsia="Times New Roman" w:cs="Arial"/>
                <w:b/>
                <w:sz w:val="22"/>
                <w:szCs w:val="22"/>
                <w:lang w:val="en-US"/>
              </w:rPr>
              <w:t>Responsibility for Policy:</w:t>
            </w:r>
          </w:p>
        </w:tc>
        <w:tc>
          <w:tcPr>
            <w:tcW w:w="5240" w:type="dxa"/>
            <w:vAlign w:val="center"/>
          </w:tcPr>
          <w:p w:rsidR="003663F6" w:rsidRPr="00451B75" w:rsidRDefault="00451B75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sz w:val="22"/>
                <w:szCs w:val="22"/>
                <w:lang w:val="en-US"/>
              </w:rPr>
              <w:t>Robin Leatherbarrow</w:t>
            </w: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4111" w:type="dxa"/>
            <w:shd w:val="clear" w:color="auto" w:fill="D9D9D9"/>
            <w:vAlign w:val="center"/>
          </w:tcPr>
          <w:p w:rsidR="003663F6" w:rsidRPr="0030453A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30453A">
              <w:rPr>
                <w:rFonts w:eastAsia="Times New Roman" w:cs="Arial"/>
                <w:b/>
                <w:sz w:val="22"/>
                <w:szCs w:val="22"/>
                <w:lang w:val="en-US"/>
              </w:rPr>
              <w:t>Relevant to:</w:t>
            </w:r>
          </w:p>
        </w:tc>
        <w:tc>
          <w:tcPr>
            <w:tcW w:w="5240" w:type="dxa"/>
            <w:vAlign w:val="center"/>
          </w:tcPr>
          <w:p w:rsidR="003663F6" w:rsidRPr="00451B75" w:rsidRDefault="00451B75" w:rsidP="00E22883">
            <w:pPr>
              <w:tabs>
                <w:tab w:val="left" w:pos="4420"/>
              </w:tabs>
              <w:adjustRightInd w:val="0"/>
              <w:spacing w:before="120" w:after="120"/>
              <w:ind w:right="-20"/>
              <w:rPr>
                <w:rFonts w:eastAsia="Times New Roman" w:cs="Arial"/>
                <w:i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i/>
                <w:sz w:val="22"/>
                <w:szCs w:val="22"/>
                <w:lang w:val="en-US"/>
              </w:rPr>
              <w:t>Staff and students conducting clinical research</w:t>
            </w: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4111" w:type="dxa"/>
            <w:shd w:val="clear" w:color="auto" w:fill="D9D9D9"/>
            <w:vAlign w:val="center"/>
          </w:tcPr>
          <w:p w:rsidR="003663F6" w:rsidRPr="0030453A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30453A">
              <w:rPr>
                <w:rFonts w:eastAsia="Times New Roman" w:cs="Arial"/>
                <w:b/>
                <w:sz w:val="22"/>
                <w:szCs w:val="22"/>
                <w:lang w:val="en-US"/>
              </w:rPr>
              <w:t xml:space="preserve">Approved by: </w:t>
            </w:r>
          </w:p>
        </w:tc>
        <w:tc>
          <w:tcPr>
            <w:tcW w:w="5240" w:type="dxa"/>
            <w:vAlign w:val="center"/>
          </w:tcPr>
          <w:p w:rsidR="003663F6" w:rsidRPr="00451B75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i/>
                <w:sz w:val="22"/>
                <w:szCs w:val="22"/>
                <w:lang w:val="en-US"/>
              </w:rPr>
            </w:pP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4111" w:type="dxa"/>
            <w:shd w:val="clear" w:color="auto" w:fill="D9D9D9"/>
            <w:vAlign w:val="center"/>
          </w:tcPr>
          <w:p w:rsidR="003663F6" w:rsidRPr="0030453A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30453A">
              <w:rPr>
                <w:rFonts w:eastAsia="Times New Roman" w:cs="Arial"/>
                <w:b/>
                <w:sz w:val="22"/>
                <w:szCs w:val="22"/>
                <w:lang w:val="en-US"/>
              </w:rPr>
              <w:t>Responsibility for Document Review:</w:t>
            </w:r>
          </w:p>
        </w:tc>
        <w:tc>
          <w:tcPr>
            <w:tcW w:w="5240" w:type="dxa"/>
            <w:vAlign w:val="center"/>
          </w:tcPr>
          <w:p w:rsidR="003663F6" w:rsidRPr="00451B75" w:rsidRDefault="00451B75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i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i/>
                <w:sz w:val="22"/>
                <w:szCs w:val="22"/>
                <w:lang w:val="en-US"/>
              </w:rPr>
              <w:t>Dave Harriss</w:t>
            </w: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4111" w:type="dxa"/>
            <w:shd w:val="clear" w:color="auto" w:fill="D9D9D9"/>
            <w:vAlign w:val="center"/>
          </w:tcPr>
          <w:p w:rsidR="003663F6" w:rsidRPr="0030453A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30453A">
              <w:rPr>
                <w:rFonts w:eastAsia="Times New Roman" w:cs="Arial"/>
                <w:b/>
                <w:sz w:val="22"/>
                <w:szCs w:val="22"/>
                <w:lang w:val="en-US"/>
              </w:rPr>
              <w:t>Date introduced:</w:t>
            </w:r>
          </w:p>
        </w:tc>
        <w:tc>
          <w:tcPr>
            <w:tcW w:w="5240" w:type="dxa"/>
            <w:vAlign w:val="center"/>
          </w:tcPr>
          <w:p w:rsidR="003663F6" w:rsidRPr="00451B75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i/>
                <w:sz w:val="22"/>
                <w:szCs w:val="22"/>
                <w:lang w:val="en-US"/>
              </w:rPr>
            </w:pP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4111" w:type="dxa"/>
            <w:shd w:val="clear" w:color="auto" w:fill="D9D9D9"/>
            <w:vAlign w:val="center"/>
          </w:tcPr>
          <w:p w:rsidR="003663F6" w:rsidRPr="0030453A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30453A">
              <w:rPr>
                <w:rFonts w:eastAsia="Times New Roman" w:cs="Arial"/>
                <w:b/>
                <w:sz w:val="22"/>
                <w:szCs w:val="22"/>
                <w:lang w:val="en-US"/>
              </w:rPr>
              <w:t>Date(s) modified:</w:t>
            </w:r>
          </w:p>
        </w:tc>
        <w:tc>
          <w:tcPr>
            <w:tcW w:w="5240" w:type="dxa"/>
            <w:vAlign w:val="center"/>
          </w:tcPr>
          <w:p w:rsidR="003663F6" w:rsidRPr="00451B75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i/>
                <w:sz w:val="22"/>
                <w:szCs w:val="22"/>
                <w:lang w:val="en-US"/>
              </w:rPr>
            </w:pP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4111" w:type="dxa"/>
            <w:shd w:val="clear" w:color="auto" w:fill="D9D9D9"/>
            <w:vAlign w:val="center"/>
          </w:tcPr>
          <w:p w:rsidR="003663F6" w:rsidRPr="0030453A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30453A">
              <w:rPr>
                <w:rFonts w:eastAsia="Times New Roman" w:cs="Arial"/>
                <w:b/>
                <w:sz w:val="22"/>
                <w:szCs w:val="22"/>
                <w:lang w:val="en-US"/>
              </w:rPr>
              <w:t>Next Review Date:</w:t>
            </w:r>
          </w:p>
        </w:tc>
        <w:tc>
          <w:tcPr>
            <w:tcW w:w="5240" w:type="dxa"/>
            <w:vAlign w:val="center"/>
          </w:tcPr>
          <w:p w:rsidR="003663F6" w:rsidRPr="00451B75" w:rsidRDefault="003663F6" w:rsidP="00E22883">
            <w:pPr>
              <w:tabs>
                <w:tab w:val="left" w:pos="4536"/>
              </w:tabs>
              <w:adjustRightInd w:val="0"/>
              <w:spacing w:before="120" w:after="120"/>
              <w:rPr>
                <w:rFonts w:eastAsia="Times New Roman" w:cs="Arial"/>
                <w:i/>
                <w:sz w:val="22"/>
                <w:szCs w:val="22"/>
                <w:lang w:val="en-US"/>
              </w:rPr>
            </w:pP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9351" w:type="dxa"/>
            <w:gridSpan w:val="2"/>
            <w:shd w:val="clear" w:color="auto" w:fill="D9D9D9"/>
            <w:vAlign w:val="center"/>
          </w:tcPr>
          <w:p w:rsidR="003663F6" w:rsidRPr="00451B75" w:rsidRDefault="003663F6" w:rsidP="00E22883">
            <w:pPr>
              <w:tabs>
                <w:tab w:val="left" w:pos="4536"/>
              </w:tabs>
              <w:adjustRightInd w:val="0"/>
              <w:spacing w:before="120" w:after="120" w:line="200" w:lineRule="exact"/>
              <w:rPr>
                <w:rFonts w:eastAsia="Times New Roman" w:cs="Arial"/>
                <w:i/>
                <w:sz w:val="22"/>
                <w:szCs w:val="22"/>
                <w:lang w:val="en-US"/>
              </w:rPr>
            </w:pPr>
            <w:r w:rsidRPr="00451B75">
              <w:rPr>
                <w:rFonts w:eastAsia="Times New Roman" w:cs="Arial"/>
                <w:b/>
                <w:sz w:val="22"/>
                <w:szCs w:val="22"/>
                <w:lang w:val="en-US"/>
              </w:rPr>
              <w:t>RELEVANT DOCUMENTS</w:t>
            </w: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3663F6" w:rsidRPr="00451B75" w:rsidRDefault="003663F6" w:rsidP="00E22883">
            <w:pPr>
              <w:tabs>
                <w:tab w:val="left" w:pos="4536"/>
              </w:tabs>
              <w:adjustRightInd w:val="0"/>
              <w:spacing w:before="120" w:after="120" w:line="200" w:lineRule="exact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</w:p>
        </w:tc>
      </w:tr>
      <w:tr w:rsidR="003663F6" w:rsidRPr="0030453A" w:rsidTr="00E22883">
        <w:trPr>
          <w:gridAfter w:val="1"/>
          <w:wAfter w:w="30" w:type="dxa"/>
          <w:trHeight w:val="510"/>
        </w:trPr>
        <w:tc>
          <w:tcPr>
            <w:tcW w:w="9351" w:type="dxa"/>
            <w:gridSpan w:val="2"/>
            <w:shd w:val="clear" w:color="auto" w:fill="D9D9D9"/>
            <w:vAlign w:val="center"/>
          </w:tcPr>
          <w:p w:rsidR="003663F6" w:rsidRPr="00451B75" w:rsidRDefault="003663F6" w:rsidP="00E22883">
            <w:pPr>
              <w:tabs>
                <w:tab w:val="left" w:pos="4536"/>
              </w:tabs>
              <w:adjustRightInd w:val="0"/>
              <w:spacing w:before="120" w:after="120" w:line="200" w:lineRule="exact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451B75">
              <w:rPr>
                <w:rFonts w:eastAsia="Times New Roman" w:cs="Arial"/>
                <w:b/>
                <w:sz w:val="22"/>
                <w:szCs w:val="22"/>
                <w:lang w:val="en-US"/>
              </w:rPr>
              <w:t>RELATED POLICIES &amp; DOCUMENTS</w:t>
            </w:r>
          </w:p>
        </w:tc>
      </w:tr>
    </w:tbl>
    <w:p w:rsidR="009F36DC" w:rsidRDefault="009F36DC" w:rsidP="00F81D53">
      <w:pPr>
        <w:pStyle w:val="BodyText"/>
        <w:ind w:right="3"/>
        <w:rPr>
          <w:rFonts w:ascii="Times New Roman"/>
          <w:sz w:val="20"/>
        </w:rPr>
      </w:pPr>
    </w:p>
    <w:p w:rsidR="005210E3" w:rsidRDefault="005210E3" w:rsidP="00F81D53">
      <w:pPr>
        <w:pStyle w:val="BodyText"/>
        <w:ind w:right="3"/>
        <w:rPr>
          <w:rFonts w:ascii="Times New Roman"/>
          <w:sz w:val="20"/>
        </w:rPr>
      </w:pPr>
    </w:p>
    <w:p w:rsidR="005210E3" w:rsidRPr="005A541F" w:rsidRDefault="005210E3" w:rsidP="005210E3">
      <w:pPr>
        <w:pStyle w:val="BodyText"/>
        <w:ind w:right="3"/>
        <w:jc w:val="center"/>
        <w:rPr>
          <w:sz w:val="40"/>
        </w:rPr>
      </w:pPr>
      <w:r w:rsidRPr="005A541F">
        <w:rPr>
          <w:sz w:val="40"/>
        </w:rPr>
        <w:t xml:space="preserve">This SOP needs to be a useful resource for investigators –please contact </w:t>
      </w:r>
      <w:hyperlink r:id="rId9" w:history="1">
        <w:r w:rsidRPr="005A541F">
          <w:rPr>
            <w:rStyle w:val="Hyperlink"/>
            <w:sz w:val="40"/>
          </w:rPr>
          <w:t>sponsor@ljmu.ac.uk</w:t>
        </w:r>
      </w:hyperlink>
      <w:r w:rsidRPr="005A541F">
        <w:rPr>
          <w:sz w:val="40"/>
        </w:rPr>
        <w:t xml:space="preserve"> with any suggestions for improvements.</w:t>
      </w:r>
    </w:p>
    <w:p w:rsidR="005210E3" w:rsidRDefault="005210E3" w:rsidP="00F81D53">
      <w:pPr>
        <w:pStyle w:val="BodyText"/>
        <w:ind w:right="3"/>
        <w:rPr>
          <w:rFonts w:ascii="Times New Roman"/>
          <w:sz w:val="20"/>
        </w:rPr>
      </w:pPr>
      <w:bookmarkStart w:id="0" w:name="_GoBack"/>
      <w:bookmarkEnd w:id="0"/>
    </w:p>
    <w:p w:rsidR="00473D18" w:rsidRDefault="00473D18">
      <w:pPr>
        <w:rPr>
          <w:rFonts w:ascii="Times New Roman"/>
          <w:sz w:val="23"/>
        </w:rPr>
      </w:pPr>
      <w:r>
        <w:rPr>
          <w:rFonts w:ascii="Times New Roman"/>
          <w:sz w:val="23"/>
        </w:rPr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n-GB"/>
        </w:rPr>
        <w:id w:val="-9866251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81842" w:rsidRDefault="00F81842">
          <w:pPr>
            <w:pStyle w:val="TOCHeading"/>
          </w:pPr>
          <w:r>
            <w:t>Table of Contents</w:t>
          </w:r>
        </w:p>
        <w:p w:rsidR="0040110E" w:rsidRDefault="00F81842">
          <w:pPr>
            <w:pStyle w:val="TOC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142114" w:history="1">
            <w:r w:rsidR="0040110E" w:rsidRPr="00B9581A">
              <w:rPr>
                <w:rStyle w:val="Hyperlink"/>
                <w:noProof/>
              </w:rPr>
              <w:t>1.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Introduction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_Toc530142114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2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15" w:history="1">
            <w:r w:rsidR="0040110E" w:rsidRPr="00B9581A">
              <w:rPr>
                <w:rStyle w:val="Hyperlink"/>
                <w:noProof/>
                <w:spacing w:val="-5"/>
              </w:rPr>
              <w:t>1.1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Definitions of</w:t>
            </w:r>
            <w:r w:rsidR="0040110E" w:rsidRPr="00B9581A">
              <w:rPr>
                <w:rStyle w:val="Hyperlink"/>
                <w:noProof/>
                <w:spacing w:val="-2"/>
              </w:rPr>
              <w:t xml:space="preserve"> </w:t>
            </w:r>
            <w:r w:rsidR="0040110E" w:rsidRPr="00B9581A">
              <w:rPr>
                <w:rStyle w:val="Hyperlink"/>
                <w:noProof/>
              </w:rPr>
              <w:t>amendments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_Toc530142115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2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16" w:history="1">
            <w:r w:rsidR="0040110E" w:rsidRPr="00B9581A">
              <w:rPr>
                <w:rStyle w:val="Hyperlink"/>
                <w:noProof/>
              </w:rPr>
              <w:t>2.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Scope of Procedure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_Toc530142116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3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17" w:history="1">
            <w:r w:rsidR="0040110E" w:rsidRPr="00B9581A">
              <w:rPr>
                <w:rStyle w:val="Hyperlink"/>
                <w:noProof/>
              </w:rPr>
              <w:t>3.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Procedure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_Toc530142117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3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2"/>
            <w:tabs>
              <w:tab w:val="left" w:pos="103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18" w:history="1">
            <w:r w:rsidR="0040110E" w:rsidRPr="00B9581A">
              <w:rPr>
                <w:rStyle w:val="Hyperlink"/>
                <w:noProof/>
              </w:rPr>
              <w:t>3.1.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Who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_Toc530142118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3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2"/>
            <w:tabs>
              <w:tab w:val="left" w:pos="103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19" w:history="1">
            <w:r w:rsidR="0040110E" w:rsidRPr="00B9581A">
              <w:rPr>
                <w:rStyle w:val="Hyperlink"/>
                <w:noProof/>
              </w:rPr>
              <w:t>3.2.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When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_Toc530142119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4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2"/>
            <w:tabs>
              <w:tab w:val="left" w:pos="103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20" w:history="1">
            <w:r w:rsidR="0040110E" w:rsidRPr="00B9581A">
              <w:rPr>
                <w:rStyle w:val="Hyperlink"/>
                <w:noProof/>
              </w:rPr>
              <w:t>3.3.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Substantial amendments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_Toc530142120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4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2"/>
            <w:tabs>
              <w:tab w:val="left" w:pos="103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21" w:history="1">
            <w:r w:rsidR="0040110E" w:rsidRPr="00B9581A">
              <w:rPr>
                <w:rStyle w:val="Hyperlink"/>
                <w:noProof/>
              </w:rPr>
              <w:t>3.4.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Non Substantial Amendments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_Toc530142121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4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2"/>
            <w:tabs>
              <w:tab w:val="left" w:pos="103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22" w:history="1">
            <w:r w:rsidR="0040110E" w:rsidRPr="00B9581A">
              <w:rPr>
                <w:rStyle w:val="Hyperlink"/>
                <w:noProof/>
              </w:rPr>
              <w:t>3.5.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Implementing amendments at NHS organisations in England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_Toc530142122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5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23" w:history="1">
            <w:r w:rsidR="0040110E" w:rsidRPr="00B9581A">
              <w:rPr>
                <w:rStyle w:val="Hyperlink"/>
                <w:noProof/>
              </w:rPr>
              <w:t>4.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Abbreviations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_Toc530142123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5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24" w:history="1">
            <w:r w:rsidR="0040110E" w:rsidRPr="00B9581A">
              <w:rPr>
                <w:rStyle w:val="Hyperlink"/>
                <w:noProof/>
              </w:rPr>
              <w:t>5.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Associated Documents and References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_Toc530142124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5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25" w:history="1">
            <w:r w:rsidR="0040110E" w:rsidRPr="00B9581A">
              <w:rPr>
                <w:rStyle w:val="Hyperlink"/>
                <w:noProof/>
              </w:rPr>
              <w:t>6.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Monitoring and Audit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_Toc530142125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5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40110E" w:rsidRDefault="005210E3">
          <w:pPr>
            <w:pStyle w:val="TOC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30142126" w:history="1">
            <w:r w:rsidR="0040110E" w:rsidRPr="00B9581A">
              <w:rPr>
                <w:rStyle w:val="Hyperlink"/>
                <w:noProof/>
              </w:rPr>
              <w:t>7.</w:t>
            </w:r>
            <w:r w:rsidR="0040110E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0110E" w:rsidRPr="00B9581A">
              <w:rPr>
                <w:rStyle w:val="Hyperlink"/>
                <w:noProof/>
              </w:rPr>
              <w:t>Change History</w:t>
            </w:r>
            <w:r w:rsidR="0040110E">
              <w:rPr>
                <w:noProof/>
                <w:webHidden/>
              </w:rPr>
              <w:tab/>
            </w:r>
            <w:r w:rsidR="0040110E">
              <w:rPr>
                <w:noProof/>
                <w:webHidden/>
              </w:rPr>
              <w:fldChar w:fldCharType="begin"/>
            </w:r>
            <w:r w:rsidR="0040110E">
              <w:rPr>
                <w:noProof/>
                <w:webHidden/>
              </w:rPr>
              <w:instrText xml:space="preserve"> PAGEREF _Toc530142126 \h </w:instrText>
            </w:r>
            <w:r w:rsidR="0040110E">
              <w:rPr>
                <w:noProof/>
                <w:webHidden/>
              </w:rPr>
            </w:r>
            <w:r w:rsidR="0040110E">
              <w:rPr>
                <w:noProof/>
                <w:webHidden/>
              </w:rPr>
              <w:fldChar w:fldCharType="separate"/>
            </w:r>
            <w:r w:rsidR="0040110E">
              <w:rPr>
                <w:noProof/>
                <w:webHidden/>
              </w:rPr>
              <w:t>5</w:t>
            </w:r>
            <w:r w:rsidR="0040110E">
              <w:rPr>
                <w:noProof/>
                <w:webHidden/>
              </w:rPr>
              <w:fldChar w:fldCharType="end"/>
            </w:r>
          </w:hyperlink>
        </w:p>
        <w:p w:rsidR="00F81842" w:rsidRDefault="00F81842">
          <w:r>
            <w:rPr>
              <w:b/>
              <w:bCs/>
              <w:noProof/>
            </w:rPr>
            <w:fldChar w:fldCharType="end"/>
          </w:r>
        </w:p>
      </w:sdtContent>
    </w:sdt>
    <w:p w:rsidR="009F36DC" w:rsidRDefault="009F36DC" w:rsidP="00F81842">
      <w:pPr>
        <w:pStyle w:val="BodyText"/>
        <w:jc w:val="both"/>
      </w:pPr>
    </w:p>
    <w:p w:rsidR="007304D8" w:rsidRDefault="007304D8">
      <w:pPr>
        <w:rPr>
          <w:b/>
          <w:bCs/>
          <w:szCs w:val="24"/>
        </w:rPr>
      </w:pPr>
      <w:bookmarkStart w:id="1" w:name="_TOC_250018"/>
      <w:bookmarkEnd w:id="1"/>
    </w:p>
    <w:p w:rsidR="00355740" w:rsidRPr="008F1087" w:rsidRDefault="00B37438" w:rsidP="005478D4">
      <w:pPr>
        <w:pStyle w:val="Heading1"/>
        <w:spacing w:before="360"/>
        <w:ind w:left="425" w:hanging="357"/>
      </w:pPr>
      <w:bookmarkStart w:id="2" w:name="_Toc530142114"/>
      <w:r w:rsidRPr="008F1087">
        <w:t>Introduction</w:t>
      </w:r>
      <w:bookmarkEnd w:id="2"/>
    </w:p>
    <w:p w:rsidR="00F81842" w:rsidRPr="00C61A23" w:rsidRDefault="00F81842" w:rsidP="00F81842">
      <w:pPr>
        <w:pStyle w:val="BodyText"/>
        <w:jc w:val="both"/>
      </w:pPr>
      <w:r w:rsidRPr="00C61A23">
        <w:t xml:space="preserve">This document significantly replicates the </w:t>
      </w:r>
      <w:r>
        <w:t>procedures</w:t>
      </w:r>
      <w:r w:rsidRPr="00C61A23">
        <w:t xml:space="preserve"> produced by the University of Liverpool, with changes made to encompass LJMU requirements. This is to facilitate research governance procedures in collaboration with the Liverpool Health Partners.</w:t>
      </w:r>
    </w:p>
    <w:p w:rsidR="00F81842" w:rsidRDefault="00F81842" w:rsidP="00637AFB">
      <w:pPr>
        <w:pStyle w:val="BodyText1"/>
      </w:pPr>
    </w:p>
    <w:p w:rsidR="009F36DC" w:rsidRPr="0002221D" w:rsidRDefault="00355740" w:rsidP="00637AFB">
      <w:pPr>
        <w:pStyle w:val="BodyText1"/>
      </w:pPr>
      <w:r>
        <w:t>Amendments are changes made to a research project after approval from a review body has been given. To make an amendment, the CI will need to determine whether they need to notify the review bodies from whom approvals have been received</w:t>
      </w:r>
      <w:r w:rsidR="00F72D72">
        <w:t xml:space="preserve">. </w:t>
      </w:r>
      <w:r>
        <w:t xml:space="preserve">The amendments help section in the Integrated Research Application System (IRAS) </w:t>
      </w:r>
      <w:r w:rsidR="00F72D72">
        <w:t xml:space="preserve">provides information on whether a review body needs to be notified and if so, in what capacity and detailed instructions </w:t>
      </w:r>
      <w:r>
        <w:t>on submission of amendments.</w:t>
      </w:r>
    </w:p>
    <w:p w:rsidR="009F36DC" w:rsidRPr="007304D8" w:rsidRDefault="00B37438" w:rsidP="005478D4">
      <w:pPr>
        <w:pStyle w:val="Heading2"/>
        <w:numPr>
          <w:ilvl w:val="1"/>
          <w:numId w:val="2"/>
        </w:numPr>
        <w:spacing w:before="240"/>
        <w:ind w:left="709"/>
      </w:pPr>
      <w:bookmarkStart w:id="3" w:name="_TOC_250017"/>
      <w:bookmarkStart w:id="4" w:name="_Toc530142115"/>
      <w:r>
        <w:t>Definitions of</w:t>
      </w:r>
      <w:r>
        <w:rPr>
          <w:spacing w:val="-2"/>
        </w:rPr>
        <w:t xml:space="preserve"> </w:t>
      </w:r>
      <w:bookmarkEnd w:id="3"/>
      <w:r>
        <w:t>amendments</w:t>
      </w:r>
      <w:bookmarkEnd w:id="4"/>
    </w:p>
    <w:p w:rsidR="009F36DC" w:rsidRDefault="00B37438" w:rsidP="000F1E22">
      <w:pPr>
        <w:jc w:val="both"/>
        <w:rPr>
          <w:b/>
        </w:rPr>
      </w:pPr>
      <w:r>
        <w:t xml:space="preserve">An amendment to a research study can be either </w:t>
      </w:r>
      <w:hyperlink r:id="rId10" w:history="1">
        <w:r w:rsidRPr="0091554F">
          <w:rPr>
            <w:rStyle w:val="Hyperlink"/>
            <w:b/>
          </w:rPr>
          <w:t xml:space="preserve">substantial </w:t>
        </w:r>
        <w:r w:rsidR="009B4C05" w:rsidRPr="0091554F">
          <w:rPr>
            <w:rStyle w:val="Hyperlink"/>
          </w:rPr>
          <w:t xml:space="preserve">or </w:t>
        </w:r>
        <w:r w:rsidR="009B4C05" w:rsidRPr="0091554F">
          <w:rPr>
            <w:rStyle w:val="Hyperlink"/>
            <w:b/>
          </w:rPr>
          <w:t>non-substantial</w:t>
        </w:r>
      </w:hyperlink>
      <w:r>
        <w:rPr>
          <w:b/>
        </w:rPr>
        <w:t>.</w:t>
      </w:r>
    </w:p>
    <w:p w:rsidR="009F36DC" w:rsidRPr="009B4C05" w:rsidRDefault="009F36DC" w:rsidP="000F1E22">
      <w:pPr>
        <w:pStyle w:val="BodyText"/>
        <w:spacing w:before="7"/>
        <w:jc w:val="both"/>
      </w:pPr>
    </w:p>
    <w:p w:rsidR="009B4C05" w:rsidRPr="009B4C05" w:rsidRDefault="009B4C05" w:rsidP="0002221D">
      <w:pPr>
        <w:pStyle w:val="BodyText"/>
        <w:spacing w:after="120"/>
        <w:jc w:val="both"/>
      </w:pPr>
      <w:r w:rsidRPr="009B4C05">
        <w:t>Examples of substantial amendments: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changes to the design or methodology of the study, or to background information likely to have a significant impact on its</w:t>
      </w:r>
      <w:r w:rsidR="0091554F">
        <w:t xml:space="preserve"> </w:t>
      </w:r>
      <w:r w:rsidRPr="009B4C05">
        <w:t>scientific value;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changes to the procedures undertaken by participants;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changes likely to have a significant impact on the safety or physical or mental integrity of participants, or to the risk/benefit assessment for the study;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significant changes to study documentation such as participant information sheets, consent forms, questionnaires, letters of invitation, letters to GPs or other clinicians, information sheets for relatives or carers;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a change of sponsor(s) or sponsor’s legal representative;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appointment of a new chief investigator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lastRenderedPageBreak/>
        <w:t>a change to the insurance or indemnity arrangements for the study;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inclusion of a new trial site (not listed in the original application) in a CTIMP;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appointment of a new principal investigator at a trial site in a CTIMP;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temporary halt of a study to protect participants from harm, and the planned restart of a study following a temporary halt;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a change to the definition of the end of the study;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any other significant change to the protocol or the terms of the REC application.</w:t>
      </w:r>
    </w:p>
    <w:p w:rsidR="0091554F" w:rsidRDefault="0091554F" w:rsidP="000F1E22">
      <w:pPr>
        <w:pStyle w:val="BodyText"/>
        <w:spacing w:before="7"/>
        <w:jc w:val="both"/>
      </w:pPr>
    </w:p>
    <w:p w:rsidR="009B4C05" w:rsidRPr="009B4C05" w:rsidRDefault="009B4C05" w:rsidP="0002221D">
      <w:pPr>
        <w:pStyle w:val="BodyText"/>
        <w:spacing w:after="120"/>
        <w:jc w:val="both"/>
      </w:pPr>
      <w:r w:rsidRPr="009B4C05">
        <w:t>Examples of non-substantial amendments: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minor changes to the protocol or other study documentation, e.g. correcting errors, updating contact points, minor clarifications;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updates of the investigator’s brochure (unless there is a change to the risk/benefit assessment for the trial);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changes to the chief investigator’s research team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changes to the research team at particular trial sites (other than appointment of a new principal investigator in a CTIMP);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changes in funding arrangements;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changes in the documentation used by the research team for recording study data;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changes in the logistical arrangements for storing or transporting samples;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inclusion of new sites and investigators in studies other than CTIMPs;</w:t>
      </w:r>
    </w:p>
    <w:p w:rsidR="009B4C05" w:rsidRPr="009B4C05" w:rsidRDefault="009B4C05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 w:rsidRPr="009B4C05">
        <w:t>extension of the study beyond the period specified in the application form.</w:t>
      </w:r>
    </w:p>
    <w:p w:rsidR="0091554F" w:rsidRDefault="0091554F" w:rsidP="000F1E22">
      <w:pPr>
        <w:pStyle w:val="BodyText"/>
        <w:spacing w:before="7"/>
        <w:jc w:val="both"/>
      </w:pPr>
    </w:p>
    <w:p w:rsidR="009F36DC" w:rsidRPr="0002221D" w:rsidRDefault="009B4C05" w:rsidP="0002221D">
      <w:pPr>
        <w:pStyle w:val="BodyText"/>
        <w:spacing w:before="7"/>
        <w:jc w:val="both"/>
      </w:pPr>
      <w:r w:rsidRPr="009B4C05">
        <w:t>Changes to contact details for the sponsor (or the sponsor’s representative), chief investigator or other study staff are minor amendments but should be notified to the </w:t>
      </w:r>
      <w:hyperlink r:id="rId11" w:history="1">
        <w:r w:rsidRPr="009B4C05">
          <w:rPr>
            <w:rStyle w:val="Hyperlink"/>
          </w:rPr>
          <w:t xml:space="preserve">REC that approved </w:t>
        </w:r>
        <w:r w:rsidR="0091554F">
          <w:rPr>
            <w:rStyle w:val="Hyperlink"/>
          </w:rPr>
          <w:t>the</w:t>
        </w:r>
        <w:r w:rsidRPr="009B4C05">
          <w:rPr>
            <w:rStyle w:val="Hyperlink"/>
          </w:rPr>
          <w:t xml:space="preserve"> original application</w:t>
        </w:r>
      </w:hyperlink>
    </w:p>
    <w:p w:rsidR="009F36DC" w:rsidRPr="0002221D" w:rsidRDefault="00B37438" w:rsidP="005478D4">
      <w:pPr>
        <w:pStyle w:val="Heading1"/>
        <w:spacing w:before="360"/>
        <w:ind w:left="425" w:hanging="357"/>
      </w:pPr>
      <w:bookmarkStart w:id="5" w:name="_TOC_250016"/>
      <w:bookmarkStart w:id="6" w:name="_Toc530142116"/>
      <w:r>
        <w:t>Scope of</w:t>
      </w:r>
      <w:r w:rsidRPr="008F1087">
        <w:t xml:space="preserve"> </w:t>
      </w:r>
      <w:bookmarkEnd w:id="5"/>
      <w:r>
        <w:t>Procedure</w:t>
      </w:r>
      <w:bookmarkEnd w:id="6"/>
    </w:p>
    <w:p w:rsidR="009F36DC" w:rsidRPr="0002221D" w:rsidRDefault="00B37438" w:rsidP="00F81842">
      <w:pPr>
        <w:pStyle w:val="BodyText"/>
        <w:jc w:val="both"/>
      </w:pPr>
      <w:r>
        <w:t>This standard operating procedure (SOP) describes:</w:t>
      </w:r>
    </w:p>
    <w:p w:rsidR="009F36DC" w:rsidRDefault="00B37438" w:rsidP="00F81842">
      <w:pPr>
        <w:pStyle w:val="BodyText"/>
        <w:numPr>
          <w:ilvl w:val="0"/>
          <w:numId w:val="5"/>
        </w:numPr>
        <w:spacing w:before="120"/>
        <w:ind w:left="714" w:hanging="357"/>
        <w:jc w:val="both"/>
      </w:pPr>
      <w:r>
        <w:t>The procedure</w:t>
      </w:r>
      <w:r w:rsidR="00B44A36">
        <w:t xml:space="preserve"> </w:t>
      </w:r>
      <w:r>
        <w:t>for</w:t>
      </w:r>
      <w:r w:rsidR="00B44A36">
        <w:t xml:space="preserve"> </w:t>
      </w:r>
      <w:r>
        <w:t>making</w:t>
      </w:r>
      <w:r w:rsidR="00B44A36">
        <w:t xml:space="preserve"> </w:t>
      </w:r>
      <w:r>
        <w:t>amendments</w:t>
      </w:r>
      <w:r w:rsidR="00B44A36">
        <w:t xml:space="preserve"> </w:t>
      </w:r>
      <w:r>
        <w:t>to</w:t>
      </w:r>
      <w:r w:rsidR="00B44A36">
        <w:t xml:space="preserve"> </w:t>
      </w:r>
      <w:r>
        <w:t>the</w:t>
      </w:r>
      <w:r w:rsidR="00B44A36">
        <w:t xml:space="preserve"> </w:t>
      </w:r>
      <w:r>
        <w:t>protocol</w:t>
      </w:r>
      <w:r w:rsidR="00B44A36">
        <w:t xml:space="preserve"> </w:t>
      </w:r>
      <w:r>
        <w:t>and</w:t>
      </w:r>
      <w:r w:rsidR="0091554F">
        <w:t xml:space="preserve"> </w:t>
      </w:r>
      <w:r>
        <w:t>any</w:t>
      </w:r>
      <w:r w:rsidR="0091554F">
        <w:t xml:space="preserve"> </w:t>
      </w:r>
      <w:r>
        <w:t>other</w:t>
      </w:r>
      <w:r w:rsidR="0091554F">
        <w:t xml:space="preserve"> </w:t>
      </w:r>
      <w:r>
        <w:t>essential study</w:t>
      </w:r>
      <w:r w:rsidRPr="00637AFB">
        <w:t xml:space="preserve"> </w:t>
      </w:r>
      <w:r>
        <w:t>documentation.</w:t>
      </w:r>
    </w:p>
    <w:p w:rsidR="009F36DC" w:rsidRPr="000F1E22" w:rsidRDefault="00B37438" w:rsidP="00F81842">
      <w:pPr>
        <w:pStyle w:val="BodyText"/>
        <w:numPr>
          <w:ilvl w:val="0"/>
          <w:numId w:val="5"/>
        </w:numPr>
        <w:spacing w:before="120"/>
        <w:ind w:left="714" w:hanging="357"/>
        <w:jc w:val="both"/>
      </w:pPr>
      <w:r>
        <w:t xml:space="preserve">The procedure for gaining </w:t>
      </w:r>
      <w:r w:rsidR="000F1E22">
        <w:t>LJMU</w:t>
      </w:r>
      <w:r>
        <w:t xml:space="preserve"> approval for </w:t>
      </w:r>
      <w:r w:rsidR="000F1E22">
        <w:t>LJMU</w:t>
      </w:r>
      <w:r>
        <w:t xml:space="preserve"> sponsored</w:t>
      </w:r>
      <w:r w:rsidR="000F1E22">
        <w:t xml:space="preserve"> clinical research</w:t>
      </w:r>
      <w:r w:rsidRPr="00637AFB">
        <w:t xml:space="preserve"> </w:t>
      </w:r>
      <w:r>
        <w:t>studies.</w:t>
      </w:r>
    </w:p>
    <w:p w:rsidR="009F36DC" w:rsidRDefault="00B37438" w:rsidP="00F81842">
      <w:pPr>
        <w:pStyle w:val="BodyText"/>
        <w:numPr>
          <w:ilvl w:val="0"/>
          <w:numId w:val="5"/>
        </w:numPr>
        <w:spacing w:before="120"/>
        <w:ind w:left="714" w:hanging="357"/>
        <w:jc w:val="both"/>
      </w:pPr>
      <w:r>
        <w:t>The notification process to REC, HRA, and other regulatory bodies.</w:t>
      </w:r>
    </w:p>
    <w:p w:rsidR="00F81842" w:rsidRDefault="00F81842" w:rsidP="00F81842">
      <w:pPr>
        <w:pStyle w:val="BodyText"/>
        <w:jc w:val="both"/>
      </w:pPr>
    </w:p>
    <w:p w:rsidR="00F81842" w:rsidRDefault="00F81842" w:rsidP="00F81842">
      <w:pPr>
        <w:pStyle w:val="BodyText"/>
        <w:jc w:val="both"/>
      </w:pPr>
      <w:r w:rsidRPr="00564349">
        <w:t>For the purpose of this SOP,</w:t>
      </w:r>
      <w:r>
        <w:t xml:space="preserve"> any reference to</w:t>
      </w:r>
      <w:r w:rsidRPr="00564349">
        <w:t xml:space="preserve"> clinical research does not include studies defined as Clinical Trials of an Investigational Medicinal Product (CTIMP). Once established</w:t>
      </w:r>
      <w:r>
        <w:t>,</w:t>
      </w:r>
      <w:r w:rsidRPr="00564349">
        <w:t xml:space="preserve"> LJMU sponsorship of a CTIMP will follow procedures for CTIMPs published by the Liverpool Health Partners or by LJMU REG.</w:t>
      </w:r>
    </w:p>
    <w:p w:rsidR="009F36DC" w:rsidRPr="008F1087" w:rsidRDefault="00B37438" w:rsidP="005478D4">
      <w:pPr>
        <w:pStyle w:val="Heading1"/>
        <w:spacing w:before="360"/>
        <w:ind w:left="425" w:hanging="357"/>
      </w:pPr>
      <w:bookmarkStart w:id="7" w:name="_TOC_250015"/>
      <w:bookmarkStart w:id="8" w:name="_Toc530142117"/>
      <w:bookmarkEnd w:id="7"/>
      <w:r>
        <w:t>Procedure</w:t>
      </w:r>
      <w:bookmarkEnd w:id="8"/>
    </w:p>
    <w:p w:rsidR="009F36DC" w:rsidRPr="005478D4" w:rsidRDefault="00B37438" w:rsidP="005478D4">
      <w:pPr>
        <w:pStyle w:val="Heading2"/>
        <w:spacing w:before="240"/>
        <w:ind w:left="567" w:hanging="567"/>
      </w:pPr>
      <w:bookmarkStart w:id="9" w:name="_TOC_250014"/>
      <w:bookmarkStart w:id="10" w:name="_Toc530142118"/>
      <w:bookmarkEnd w:id="9"/>
      <w:r w:rsidRPr="005478D4">
        <w:t>Who</w:t>
      </w:r>
      <w:bookmarkEnd w:id="10"/>
    </w:p>
    <w:p w:rsidR="009F36DC" w:rsidRDefault="00B37438" w:rsidP="0002221D">
      <w:pPr>
        <w:pStyle w:val="BodyText1"/>
      </w:pPr>
      <w:r>
        <w:t>This SOP is aimed at Chief Investigators (CI), students, trial coordinators and other members of University Staff involved in processing amendment and obtaining University, ethical, and regulatory approvals.</w:t>
      </w:r>
    </w:p>
    <w:p w:rsidR="009F36DC" w:rsidRDefault="009F36DC" w:rsidP="0002221D">
      <w:pPr>
        <w:pStyle w:val="BodyText1"/>
      </w:pPr>
    </w:p>
    <w:p w:rsidR="009F36DC" w:rsidRPr="007304D8" w:rsidRDefault="00B37438" w:rsidP="0002221D">
      <w:pPr>
        <w:pStyle w:val="BodyText1"/>
      </w:pPr>
      <w:r>
        <w:t xml:space="preserve">The SOP is also aimed at staff within </w:t>
      </w:r>
      <w:r w:rsidR="00803A11">
        <w:t>LJMU Research Ethics and Governance (REG)</w:t>
      </w:r>
      <w:r>
        <w:t xml:space="preserve"> who are involved in the review process of study amendments for </w:t>
      </w:r>
      <w:r w:rsidR="00803A11">
        <w:t>LJMU</w:t>
      </w:r>
      <w:r>
        <w:t xml:space="preserve"> Sponsored </w:t>
      </w:r>
      <w:r w:rsidR="00803A11">
        <w:t xml:space="preserve">clinical research </w:t>
      </w:r>
      <w:r>
        <w:t>studies.</w:t>
      </w:r>
    </w:p>
    <w:p w:rsidR="009F36DC" w:rsidRPr="007304D8" w:rsidRDefault="00B37438" w:rsidP="005478D4">
      <w:pPr>
        <w:pStyle w:val="Heading2"/>
        <w:spacing w:before="240"/>
        <w:ind w:left="567" w:hanging="567"/>
      </w:pPr>
      <w:bookmarkStart w:id="11" w:name="_TOC_250013"/>
      <w:bookmarkStart w:id="12" w:name="_Toc530142119"/>
      <w:bookmarkEnd w:id="11"/>
      <w:r w:rsidRPr="008F1087">
        <w:lastRenderedPageBreak/>
        <w:t>When</w:t>
      </w:r>
      <w:bookmarkEnd w:id="12"/>
    </w:p>
    <w:p w:rsidR="009F36DC" w:rsidRDefault="00B37438" w:rsidP="00637AFB">
      <w:pPr>
        <w:pStyle w:val="BodyText1"/>
      </w:pPr>
      <w:r>
        <w:t xml:space="preserve">This SOP should be referred to when making a substantial or non-substantial amendment to a </w:t>
      </w:r>
      <w:r w:rsidR="00BA15B3">
        <w:t>LJMU</w:t>
      </w:r>
      <w:r>
        <w:t xml:space="preserve"> Sponsored </w:t>
      </w:r>
      <w:r w:rsidR="00BA15B3">
        <w:t xml:space="preserve">clinical research </w:t>
      </w:r>
      <w:r>
        <w:t>study.</w:t>
      </w:r>
    </w:p>
    <w:p w:rsidR="009F36DC" w:rsidRPr="007304D8" w:rsidRDefault="00B37438" w:rsidP="005478D4">
      <w:pPr>
        <w:pStyle w:val="Heading2"/>
        <w:spacing w:before="240"/>
        <w:ind w:left="567" w:hanging="567"/>
      </w:pPr>
      <w:bookmarkStart w:id="13" w:name="_Toc530142120"/>
      <w:r>
        <w:t>Substantial amendments</w:t>
      </w:r>
      <w:bookmarkEnd w:id="13"/>
    </w:p>
    <w:p w:rsidR="009F36DC" w:rsidRDefault="00B37438" w:rsidP="00637AFB">
      <w:pPr>
        <w:pStyle w:val="BodyText1"/>
      </w:pPr>
      <w:r>
        <w:t>Prior to submission to external review bodies, the CI is required to notify the Sponsor [</w:t>
      </w:r>
      <w:r w:rsidR="0055387E">
        <w:t>LJMU REG within LJMU Research Innovation Services (RIS)</w:t>
      </w:r>
      <w:r>
        <w:t>] of the proposed amendment,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amendment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reviewed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assessed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substantiality and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 appropriate</w:t>
      </w:r>
      <w:r>
        <w:rPr>
          <w:spacing w:val="-6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submitted. Where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Co-Sponsored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NHS</w:t>
      </w:r>
      <w:r>
        <w:rPr>
          <w:spacing w:val="-11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LJMU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confirmation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NHS</w:t>
      </w:r>
      <w:r>
        <w:rPr>
          <w:spacing w:val="-11"/>
        </w:rPr>
        <w:t xml:space="preserve"> </w:t>
      </w:r>
      <w:r>
        <w:t>Co- Sponsor</w:t>
      </w:r>
      <w:r>
        <w:rPr>
          <w:spacing w:val="-6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bodies.</w:t>
      </w:r>
    </w:p>
    <w:p w:rsidR="00B37438" w:rsidRDefault="00B37438" w:rsidP="00637AFB">
      <w:pPr>
        <w:pStyle w:val="BodyText1"/>
      </w:pPr>
    </w:p>
    <w:p w:rsidR="00B37438" w:rsidRPr="00B37438" w:rsidRDefault="00B37438" w:rsidP="00637AFB">
      <w:pPr>
        <w:pStyle w:val="BodyText1"/>
      </w:pPr>
      <w:r>
        <w:t xml:space="preserve">LJMU REG retain overall responsibility for reviewing the amendment </w:t>
      </w:r>
      <w:r w:rsidRPr="00B37438">
        <w:t>retain overall responsibility for reviewing and approving amendments, however the function of review is undertaken by the</w:t>
      </w:r>
      <w:r>
        <w:t xml:space="preserve"> LJMU Research Governance Manager.</w:t>
      </w:r>
    </w:p>
    <w:p w:rsidR="009F36DC" w:rsidRDefault="009F36DC" w:rsidP="00637AFB">
      <w:pPr>
        <w:pStyle w:val="BodyText1"/>
      </w:pPr>
    </w:p>
    <w:p w:rsidR="009F36DC" w:rsidRDefault="00B37438" w:rsidP="00637AFB">
      <w:pPr>
        <w:pStyle w:val="BodyText1"/>
      </w:pPr>
      <w:r>
        <w:t xml:space="preserve">Substantial amendments must be submitted to the REC that approved the research (either NHS </w:t>
      </w:r>
      <w:r>
        <w:rPr>
          <w:spacing w:val="-2"/>
        </w:rPr>
        <w:t xml:space="preserve">REC </w:t>
      </w:r>
      <w:r>
        <w:t xml:space="preserve">or University Ethics), </w:t>
      </w:r>
      <w:r w:rsidR="0055387E">
        <w:t xml:space="preserve">and </w:t>
      </w:r>
      <w:r>
        <w:t xml:space="preserve">the HRA (for </w:t>
      </w:r>
      <w:r w:rsidR="0055387E">
        <w:t xml:space="preserve">HRA approved research). </w:t>
      </w:r>
      <w:r>
        <w:t>Submission of the amendment to other regulatory bodies may also be required depending 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approvals</w:t>
      </w:r>
      <w:r>
        <w:rPr>
          <w:spacing w:val="-6"/>
        </w:rPr>
        <w:t xml:space="preserve"> </w:t>
      </w:r>
      <w:r>
        <w:t>received.</w:t>
      </w:r>
    </w:p>
    <w:p w:rsidR="009F36DC" w:rsidRDefault="009F36DC" w:rsidP="00637AFB">
      <w:pPr>
        <w:pStyle w:val="BodyText1"/>
      </w:pPr>
    </w:p>
    <w:p w:rsidR="00C01C0E" w:rsidRDefault="00C01C0E" w:rsidP="00637AFB">
      <w:pPr>
        <w:pStyle w:val="BodyText1"/>
      </w:pPr>
      <w:r>
        <w:t xml:space="preserve">For studies originally approved by an NHS REC, the </w:t>
      </w:r>
      <w:r w:rsidR="00B37438">
        <w:t xml:space="preserve">notification of a proposed substantial amendment should be submitted using the “Notification of Substantial Amendment Form” </w:t>
      </w:r>
      <w:r>
        <w:t>in</w:t>
      </w:r>
      <w:r w:rsidR="00B37438">
        <w:t xml:space="preserve"> </w:t>
      </w:r>
      <w:r>
        <w:t>IRAS to generate a PDF form for your amendment. The PDF should then be emailed to</w:t>
      </w:r>
      <w:r w:rsidR="00B707AB">
        <w:t xml:space="preserve"> LJMU REG and any co-sponsors. Once sponsor and co-sponsor approval has been confirmed by email, the CI should email the Sponsor approved PDF to </w:t>
      </w:r>
      <w:r>
        <w:t xml:space="preserve">the REC that approved the original application. </w:t>
      </w:r>
      <w:r w:rsidRPr="00C01C0E">
        <w:t xml:space="preserve">REC staff will validate the amendment and categorise it if necessary. A validation letter with any categorisation will then be sent to </w:t>
      </w:r>
      <w:r>
        <w:t>the CI</w:t>
      </w:r>
      <w:r w:rsidRPr="00C01C0E">
        <w:t>. At this stage, applicants should notify sites of the amendments and their categories. Further information on categorisation is available on IRAS.</w:t>
      </w:r>
    </w:p>
    <w:p w:rsidR="00C01C0E" w:rsidRDefault="00C01C0E" w:rsidP="00637AFB">
      <w:pPr>
        <w:pStyle w:val="BodyText1"/>
      </w:pPr>
    </w:p>
    <w:p w:rsidR="00C01C0E" w:rsidRDefault="00C01C0E" w:rsidP="00637AFB">
      <w:pPr>
        <w:pStyle w:val="BodyText"/>
        <w:spacing w:after="120"/>
        <w:jc w:val="both"/>
      </w:pPr>
      <w:r>
        <w:t>The REC will review the amendment. There are three possible outcomes:</w:t>
      </w:r>
    </w:p>
    <w:p w:rsidR="00C01C0E" w:rsidRDefault="00C01C0E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>
        <w:t>Unfavourable opinion – The CI will need to return to the start of the process and resubmit</w:t>
      </w:r>
    </w:p>
    <w:p w:rsidR="00C01C0E" w:rsidRDefault="00C01C0E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>
        <w:t>Favourable opinion no further review from HRA required - applicants should communicate this to sites (both the research team and the R&amp;D office), and the local CRN. If any amendments are category A or B, sites have 35 days to raise any objections, after which if no objections have been raised, the amendment can be implemented. Category C amendments can be implemented immediately.</w:t>
      </w:r>
    </w:p>
    <w:p w:rsidR="009F36DC" w:rsidRPr="007304D8" w:rsidRDefault="00C01C0E" w:rsidP="00637AFB">
      <w:pPr>
        <w:pStyle w:val="BodyText"/>
        <w:numPr>
          <w:ilvl w:val="0"/>
          <w:numId w:val="5"/>
        </w:numPr>
        <w:spacing w:after="120"/>
        <w:ind w:left="714" w:hanging="357"/>
        <w:jc w:val="both"/>
      </w:pPr>
      <w:r>
        <w:t>Favourable opinion further assessment needed - applicants will receive an email following further evaluation, after which the same process of notification as above should be followed.</w:t>
      </w:r>
    </w:p>
    <w:p w:rsidR="00B707AB" w:rsidRPr="00B707AB" w:rsidRDefault="00D1663B" w:rsidP="005478D4">
      <w:pPr>
        <w:pStyle w:val="Heading2"/>
        <w:spacing w:before="240"/>
        <w:ind w:left="567" w:hanging="567"/>
      </w:pPr>
      <w:bookmarkStart w:id="14" w:name="_TOC_250011"/>
      <w:bookmarkStart w:id="15" w:name="_Toc530142121"/>
      <w:r>
        <w:t xml:space="preserve">Non </w:t>
      </w:r>
      <w:r w:rsidR="00B37438">
        <w:t>Substantial Amendments</w:t>
      </w:r>
      <w:bookmarkEnd w:id="14"/>
      <w:bookmarkEnd w:id="15"/>
    </w:p>
    <w:p w:rsidR="00B707AB" w:rsidRDefault="00B707AB" w:rsidP="00637AFB">
      <w:pPr>
        <w:pStyle w:val="BodyText1"/>
      </w:pPr>
      <w:r>
        <w:t>No</w:t>
      </w:r>
      <w:r w:rsidRPr="00B707AB">
        <w:t xml:space="preserve">n substantial amendments </w:t>
      </w:r>
      <w:r>
        <w:t xml:space="preserve">should be </w:t>
      </w:r>
      <w:r w:rsidR="00035A16">
        <w:t>emailed</w:t>
      </w:r>
      <w:r>
        <w:t xml:space="preserve"> to LJMU REG using this </w:t>
      </w:r>
      <w:hyperlink r:id="rId12" w:history="1">
        <w:r w:rsidRPr="00035A16">
          <w:rPr>
            <w:rStyle w:val="Hyperlink"/>
          </w:rPr>
          <w:t>template</w:t>
        </w:r>
      </w:hyperlink>
      <w:r w:rsidR="00035A16">
        <w:t xml:space="preserve">. Once approved the CI should email the </w:t>
      </w:r>
      <w:proofErr w:type="spellStart"/>
      <w:r w:rsidR="00035A16">
        <w:t>non substantial</w:t>
      </w:r>
      <w:proofErr w:type="spellEnd"/>
      <w:r w:rsidR="00035A16">
        <w:t xml:space="preserve"> amendment to </w:t>
      </w:r>
      <w:hyperlink r:id="rId13" w:history="1">
        <w:r w:rsidR="00035A16" w:rsidRPr="00035A16">
          <w:rPr>
            <w:rStyle w:val="Hyperlink"/>
          </w:rPr>
          <w:t>hra.amendments@nhs.net</w:t>
        </w:r>
      </w:hyperlink>
      <w:r w:rsidR="00035A16">
        <w:t xml:space="preserve">. </w:t>
      </w:r>
    </w:p>
    <w:p w:rsidR="00035A16" w:rsidRDefault="00035A16" w:rsidP="00637AFB">
      <w:pPr>
        <w:pStyle w:val="BodyText1"/>
      </w:pPr>
    </w:p>
    <w:p w:rsidR="00035A16" w:rsidRPr="00035A16" w:rsidRDefault="00035A16" w:rsidP="00637AFB">
      <w:pPr>
        <w:pStyle w:val="BodyText1"/>
        <w:spacing w:after="120"/>
      </w:pPr>
      <w:r>
        <w:t>The CI</w:t>
      </w:r>
      <w:r w:rsidRPr="00035A16">
        <w:t xml:space="preserve"> will not get a validation email but will receive a categorisation email. There are two possible outcomes: </w:t>
      </w:r>
    </w:p>
    <w:p w:rsidR="00035A16" w:rsidRPr="00035A16" w:rsidRDefault="00035A16" w:rsidP="00637AFB">
      <w:pPr>
        <w:pStyle w:val="BodyText"/>
        <w:numPr>
          <w:ilvl w:val="0"/>
          <w:numId w:val="7"/>
        </w:numPr>
        <w:spacing w:after="120"/>
        <w:ind w:left="714" w:right="6" w:hanging="357"/>
        <w:jc w:val="both"/>
      </w:pPr>
      <w:r w:rsidRPr="00035A16">
        <w:rPr>
          <w:b/>
          <w:bCs/>
        </w:rPr>
        <w:t>HRA Approval for the amendment confirmed</w:t>
      </w:r>
    </w:p>
    <w:p w:rsidR="00035A16" w:rsidRPr="00035A16" w:rsidRDefault="00035A16" w:rsidP="00637AFB">
      <w:pPr>
        <w:pStyle w:val="BodyText"/>
        <w:numPr>
          <w:ilvl w:val="0"/>
          <w:numId w:val="7"/>
        </w:numPr>
        <w:spacing w:after="120"/>
        <w:ind w:left="714" w:right="6" w:hanging="357"/>
        <w:jc w:val="both"/>
      </w:pPr>
      <w:r w:rsidRPr="00035A16">
        <w:rPr>
          <w:b/>
          <w:bCs/>
        </w:rPr>
        <w:t>HRA Approval for the amendment pending</w:t>
      </w:r>
    </w:p>
    <w:p w:rsidR="00035A16" w:rsidRDefault="00035A16" w:rsidP="00637AFB">
      <w:pPr>
        <w:pStyle w:val="BodyText1"/>
      </w:pPr>
      <w:r w:rsidRPr="00035A16">
        <w:t>In both cases, applicants should communicate this outcome to sites, along with the amendment application that was submitted. This should be sent to both the site research team and the R&amp;D office, and the local CRN. If any amendments are </w:t>
      </w:r>
      <w:hyperlink r:id="rId14" w:history="1">
        <w:r w:rsidRPr="00035A16">
          <w:rPr>
            <w:rStyle w:val="Hyperlink"/>
          </w:rPr>
          <w:t>category A or B</w:t>
        </w:r>
      </w:hyperlink>
      <w:r w:rsidRPr="00035A16">
        <w:t>, sites have 35 days to raise any objections, after which if no objections have been raised, the amendment can be implemented. </w:t>
      </w:r>
      <w:hyperlink r:id="rId15" w:history="1">
        <w:r w:rsidRPr="00035A16">
          <w:rPr>
            <w:rStyle w:val="Hyperlink"/>
          </w:rPr>
          <w:t>Category C amendments</w:t>
        </w:r>
      </w:hyperlink>
      <w:r w:rsidRPr="00035A16">
        <w:t> can be implemented immediately. </w:t>
      </w:r>
    </w:p>
    <w:p w:rsidR="00035A16" w:rsidRDefault="00035A16" w:rsidP="00637AFB">
      <w:pPr>
        <w:pStyle w:val="BodyText1"/>
      </w:pPr>
    </w:p>
    <w:p w:rsidR="00D1663B" w:rsidRDefault="00035A16" w:rsidP="00637AFB">
      <w:pPr>
        <w:pStyle w:val="BodyText1"/>
      </w:pPr>
      <w:r w:rsidRPr="00035A16">
        <w:t xml:space="preserve">Where a HRA review is required, </w:t>
      </w:r>
      <w:r>
        <w:t>the HRA</w:t>
      </w:r>
      <w:r w:rsidRPr="00035A16">
        <w:t xml:space="preserve"> will review the amendment and issue HRA Approval of the </w:t>
      </w:r>
      <w:r w:rsidRPr="00035A16">
        <w:lastRenderedPageBreak/>
        <w:t>amendment. Applicants should then notify sites of the outcome and provide the final approved documents.</w:t>
      </w:r>
    </w:p>
    <w:p w:rsidR="009F36DC" w:rsidRPr="007304D8" w:rsidRDefault="00035A16" w:rsidP="005478D4">
      <w:pPr>
        <w:pStyle w:val="Heading2"/>
        <w:spacing w:before="240"/>
        <w:ind w:left="567" w:hanging="567"/>
      </w:pPr>
      <w:bookmarkStart w:id="16" w:name="_Toc530142122"/>
      <w:r w:rsidRPr="00035A16">
        <w:t>Implementing amendments at NHS organisations in England</w:t>
      </w:r>
      <w:bookmarkEnd w:id="16"/>
    </w:p>
    <w:p w:rsidR="00035A16" w:rsidRDefault="00035A16" w:rsidP="00035A16">
      <w:pPr>
        <w:spacing w:line="276" w:lineRule="auto"/>
        <w:jc w:val="both"/>
      </w:pPr>
      <w:r>
        <w:t>The HRA have produced a series of email templates to support CIs when notifying NHS organisations in England of an amendment and to confirm when an amendment can be implemented.</w:t>
      </w:r>
    </w:p>
    <w:p w:rsidR="00035A16" w:rsidRDefault="00035A16" w:rsidP="00035A16">
      <w:pPr>
        <w:spacing w:line="276" w:lineRule="auto"/>
        <w:jc w:val="both"/>
      </w:pPr>
    </w:p>
    <w:p w:rsidR="00035A16" w:rsidRDefault="00035A16" w:rsidP="00035A16">
      <w:pPr>
        <w:spacing w:line="276" w:lineRule="auto"/>
        <w:jc w:val="both"/>
      </w:pPr>
      <w:r>
        <w:t xml:space="preserve">The use of these email templates are optional, however </w:t>
      </w:r>
      <w:r w:rsidR="00DA05FD">
        <w:t>the HRA</w:t>
      </w:r>
      <w:r>
        <w:t xml:space="preserve"> believe their contents will allow sponsors to provide NHS organisations with the information they need to enable amendments to be implemented. The templates can be found below:</w:t>
      </w:r>
    </w:p>
    <w:p w:rsidR="00035A16" w:rsidRDefault="00035A16" w:rsidP="00035A16">
      <w:pPr>
        <w:spacing w:line="276" w:lineRule="auto"/>
        <w:jc w:val="both"/>
      </w:pPr>
    </w:p>
    <w:p w:rsidR="00DA05FD" w:rsidRPr="00DA05FD" w:rsidRDefault="005210E3" w:rsidP="00DA05FD">
      <w:pPr>
        <w:pStyle w:val="BodyText"/>
        <w:numPr>
          <w:ilvl w:val="0"/>
          <w:numId w:val="8"/>
        </w:numPr>
        <w:spacing w:before="36" w:line="276" w:lineRule="auto"/>
        <w:ind w:right="153"/>
        <w:jc w:val="both"/>
        <w:rPr>
          <w:bCs/>
        </w:rPr>
      </w:pPr>
      <w:hyperlink r:id="rId16" w:history="1">
        <w:r w:rsidR="00DA05FD" w:rsidRPr="00DA05FD">
          <w:rPr>
            <w:rStyle w:val="Hyperlink"/>
            <w:bCs/>
          </w:rPr>
          <w:t>Category A or B site notification email template where HRA Approval is pending at categorisation</w:t>
        </w:r>
      </w:hyperlink>
    </w:p>
    <w:p w:rsidR="00DA05FD" w:rsidRPr="00DA05FD" w:rsidRDefault="005210E3" w:rsidP="00DA05FD">
      <w:pPr>
        <w:pStyle w:val="BodyText"/>
        <w:numPr>
          <w:ilvl w:val="0"/>
          <w:numId w:val="8"/>
        </w:numPr>
        <w:spacing w:before="36" w:line="276" w:lineRule="auto"/>
        <w:ind w:right="153"/>
        <w:jc w:val="both"/>
        <w:rPr>
          <w:bCs/>
        </w:rPr>
      </w:pPr>
      <w:hyperlink r:id="rId17" w:history="1">
        <w:r w:rsidR="00DA05FD" w:rsidRPr="00DA05FD">
          <w:rPr>
            <w:rStyle w:val="Hyperlink"/>
            <w:bCs/>
          </w:rPr>
          <w:t>Category A or B site notification email, where HRA Approval is issued at categorisation</w:t>
        </w:r>
      </w:hyperlink>
    </w:p>
    <w:p w:rsidR="00DA05FD" w:rsidRPr="00DA05FD" w:rsidRDefault="005210E3" w:rsidP="00DA05FD">
      <w:pPr>
        <w:pStyle w:val="BodyText"/>
        <w:numPr>
          <w:ilvl w:val="0"/>
          <w:numId w:val="8"/>
        </w:numPr>
        <w:spacing w:before="36" w:line="276" w:lineRule="auto"/>
        <w:ind w:right="153"/>
        <w:jc w:val="both"/>
        <w:rPr>
          <w:bCs/>
        </w:rPr>
      </w:pPr>
      <w:hyperlink r:id="rId18" w:history="1">
        <w:r w:rsidR="00DA05FD" w:rsidRPr="00DA05FD">
          <w:rPr>
            <w:rStyle w:val="Hyperlink"/>
            <w:bCs/>
          </w:rPr>
          <w:t>Category C site notification email</w:t>
        </w:r>
      </w:hyperlink>
    </w:p>
    <w:p w:rsidR="009F36DC" w:rsidRPr="00DA05FD" w:rsidRDefault="005210E3" w:rsidP="00DA05FD">
      <w:pPr>
        <w:pStyle w:val="BodyText"/>
        <w:numPr>
          <w:ilvl w:val="0"/>
          <w:numId w:val="8"/>
        </w:numPr>
        <w:spacing w:before="36" w:line="276" w:lineRule="auto"/>
        <w:ind w:right="153"/>
        <w:jc w:val="both"/>
        <w:rPr>
          <w:bCs/>
        </w:rPr>
      </w:pPr>
      <w:hyperlink r:id="rId19" w:history="1">
        <w:r w:rsidR="00DA05FD" w:rsidRPr="00DA05FD">
          <w:rPr>
            <w:rStyle w:val="Hyperlink"/>
            <w:bCs/>
          </w:rPr>
          <w:t>Amendment implementation email</w:t>
        </w:r>
      </w:hyperlink>
    </w:p>
    <w:p w:rsidR="009F36DC" w:rsidRPr="005478D4" w:rsidRDefault="00B37438" w:rsidP="005478D4">
      <w:pPr>
        <w:pStyle w:val="Heading1"/>
        <w:spacing w:before="360"/>
        <w:ind w:left="425" w:hanging="357"/>
      </w:pPr>
      <w:bookmarkStart w:id="17" w:name="_TOC_250003"/>
      <w:bookmarkStart w:id="18" w:name="_Toc530142123"/>
      <w:bookmarkEnd w:id="17"/>
      <w:r w:rsidRPr="007304D8">
        <w:t>Abbreviations</w:t>
      </w:r>
      <w:bookmarkEnd w:id="18"/>
    </w:p>
    <w:p w:rsidR="009F36DC" w:rsidRPr="005478D4" w:rsidRDefault="00B37438" w:rsidP="005478D4">
      <w:pPr>
        <w:pStyle w:val="BodyText"/>
        <w:tabs>
          <w:tab w:val="left" w:pos="2312"/>
        </w:tabs>
        <w:spacing w:after="120"/>
        <w:ind w:left="872"/>
      </w:pPr>
      <w:r>
        <w:rPr>
          <w:b/>
        </w:rPr>
        <w:t>CI</w:t>
      </w:r>
      <w:r>
        <w:rPr>
          <w:b/>
        </w:rPr>
        <w:tab/>
      </w:r>
      <w:r>
        <w:t>Chief</w:t>
      </w:r>
      <w:r>
        <w:rPr>
          <w:spacing w:val="-8"/>
        </w:rPr>
        <w:t xml:space="preserve"> </w:t>
      </w:r>
      <w:r>
        <w:t>Investigator</w:t>
      </w:r>
    </w:p>
    <w:p w:rsidR="009F36DC" w:rsidRPr="005478D4" w:rsidRDefault="00B37438" w:rsidP="005478D4">
      <w:pPr>
        <w:pStyle w:val="BodyText"/>
        <w:tabs>
          <w:tab w:val="left" w:pos="2312"/>
        </w:tabs>
        <w:spacing w:after="120"/>
        <w:ind w:left="872"/>
      </w:pPr>
      <w:r>
        <w:rPr>
          <w:b/>
        </w:rPr>
        <w:t>CTIMP</w:t>
      </w:r>
      <w:r>
        <w:rPr>
          <w:b/>
        </w:rPr>
        <w:tab/>
      </w:r>
      <w:r>
        <w:t>Clinical Trial of Investigational Medicinal</w:t>
      </w:r>
      <w:r>
        <w:rPr>
          <w:spacing w:val="-18"/>
        </w:rPr>
        <w:t xml:space="preserve"> </w:t>
      </w:r>
      <w:r>
        <w:t>Product</w:t>
      </w:r>
    </w:p>
    <w:p w:rsidR="009F36DC" w:rsidRPr="005478D4" w:rsidRDefault="00B37438" w:rsidP="005478D4">
      <w:pPr>
        <w:pStyle w:val="BodyText"/>
        <w:tabs>
          <w:tab w:val="left" w:pos="2312"/>
        </w:tabs>
        <w:spacing w:after="120"/>
        <w:ind w:left="872"/>
      </w:pPr>
      <w:r>
        <w:rPr>
          <w:b/>
        </w:rPr>
        <w:t>IRAS</w:t>
      </w:r>
      <w:r>
        <w:rPr>
          <w:b/>
        </w:rPr>
        <w:tab/>
      </w:r>
      <w:r>
        <w:t>Integrated Research Application</w:t>
      </w:r>
      <w:r>
        <w:rPr>
          <w:spacing w:val="-18"/>
        </w:rPr>
        <w:t xml:space="preserve"> </w:t>
      </w:r>
      <w:r>
        <w:t>System</w:t>
      </w:r>
    </w:p>
    <w:p w:rsidR="009F36DC" w:rsidRPr="005478D4" w:rsidRDefault="00B37438" w:rsidP="005478D4">
      <w:pPr>
        <w:pStyle w:val="BodyText"/>
        <w:tabs>
          <w:tab w:val="left" w:pos="2312"/>
        </w:tabs>
        <w:spacing w:after="120"/>
        <w:ind w:left="872"/>
      </w:pPr>
      <w:r>
        <w:rPr>
          <w:b/>
        </w:rPr>
        <w:t>HRA</w:t>
      </w:r>
      <w:r>
        <w:rPr>
          <w:b/>
        </w:rPr>
        <w:tab/>
      </w:r>
      <w:r>
        <w:t>Health Research</w:t>
      </w:r>
      <w:r>
        <w:rPr>
          <w:spacing w:val="-14"/>
        </w:rPr>
        <w:t xml:space="preserve"> </w:t>
      </w:r>
      <w:r>
        <w:t>Authority</w:t>
      </w:r>
    </w:p>
    <w:p w:rsidR="009F36DC" w:rsidRPr="005478D4" w:rsidRDefault="00B37438" w:rsidP="005478D4">
      <w:pPr>
        <w:pStyle w:val="BodyText"/>
        <w:tabs>
          <w:tab w:val="left" w:pos="2312"/>
        </w:tabs>
        <w:spacing w:after="120"/>
        <w:ind w:left="872"/>
      </w:pPr>
      <w:r>
        <w:rPr>
          <w:b/>
        </w:rPr>
        <w:t>REC</w:t>
      </w:r>
      <w:r>
        <w:rPr>
          <w:b/>
        </w:rPr>
        <w:tab/>
      </w:r>
      <w:r>
        <w:t>Research Ethics</w:t>
      </w:r>
      <w:r>
        <w:rPr>
          <w:spacing w:val="-15"/>
        </w:rPr>
        <w:t xml:space="preserve"> </w:t>
      </w:r>
      <w:r>
        <w:t>Committee</w:t>
      </w:r>
    </w:p>
    <w:p w:rsidR="009F36DC" w:rsidRPr="005478D4" w:rsidRDefault="00B37438" w:rsidP="005478D4">
      <w:pPr>
        <w:pStyle w:val="BodyText"/>
        <w:tabs>
          <w:tab w:val="left" w:pos="2312"/>
        </w:tabs>
        <w:spacing w:after="120"/>
        <w:ind w:left="872"/>
      </w:pPr>
      <w:r>
        <w:rPr>
          <w:b/>
        </w:rPr>
        <w:t>PI</w:t>
      </w:r>
      <w:r>
        <w:rPr>
          <w:b/>
        </w:rPr>
        <w:tab/>
      </w:r>
      <w:r>
        <w:t>Principle</w:t>
      </w:r>
      <w:r>
        <w:rPr>
          <w:spacing w:val="-7"/>
        </w:rPr>
        <w:t xml:space="preserve"> </w:t>
      </w:r>
      <w:r>
        <w:t>Investigator</w:t>
      </w:r>
    </w:p>
    <w:p w:rsidR="009F36DC" w:rsidRPr="005478D4" w:rsidRDefault="00DA05FD" w:rsidP="005478D4">
      <w:pPr>
        <w:pStyle w:val="BodyText"/>
        <w:tabs>
          <w:tab w:val="left" w:pos="2312"/>
        </w:tabs>
        <w:spacing w:after="120"/>
        <w:ind w:left="872"/>
      </w:pPr>
      <w:r>
        <w:rPr>
          <w:b/>
        </w:rPr>
        <w:t>REG</w:t>
      </w:r>
      <w:r w:rsidR="00B37438">
        <w:rPr>
          <w:b/>
        </w:rPr>
        <w:tab/>
      </w:r>
      <w:r w:rsidR="00B37438">
        <w:t xml:space="preserve">Research </w:t>
      </w:r>
      <w:r>
        <w:t>Ethics and Governance</w:t>
      </w:r>
    </w:p>
    <w:p w:rsidR="009F36DC" w:rsidRDefault="00B37438" w:rsidP="005478D4">
      <w:pPr>
        <w:pStyle w:val="Heading1"/>
        <w:spacing w:before="360"/>
        <w:ind w:left="425" w:hanging="357"/>
      </w:pPr>
      <w:bookmarkStart w:id="19" w:name="_TOC_250002"/>
      <w:bookmarkStart w:id="20" w:name="_Toc530142124"/>
      <w:r>
        <w:t>Associated Documents and</w:t>
      </w:r>
      <w:r w:rsidRPr="007304D8">
        <w:t xml:space="preserve"> </w:t>
      </w:r>
      <w:bookmarkEnd w:id="19"/>
      <w:r>
        <w:t>References</w:t>
      </w:r>
      <w:bookmarkEnd w:id="20"/>
    </w:p>
    <w:p w:rsidR="009F36DC" w:rsidRDefault="009F36DC">
      <w:pPr>
        <w:pStyle w:val="BodyText"/>
        <w:spacing w:before="5"/>
        <w:rPr>
          <w:b/>
          <w:sz w:val="20"/>
        </w:rPr>
      </w:pPr>
    </w:p>
    <w:p w:rsidR="00514609" w:rsidRPr="00514609" w:rsidRDefault="00514609" w:rsidP="00514609">
      <w:pPr>
        <w:spacing w:line="276" w:lineRule="auto"/>
        <w:jc w:val="both"/>
      </w:pPr>
      <w:r w:rsidRPr="00514609">
        <w:t xml:space="preserve">HRA information on amendments - </w:t>
      </w:r>
      <w:hyperlink r:id="rId20" w:history="1">
        <w:r w:rsidRPr="00514609">
          <w:t>https://www.hra.nhs.uk/approvals-amendments/amending-approval/examples-of-substantial-and-non-substantial-amendments/</w:t>
        </w:r>
      </w:hyperlink>
      <w:r>
        <w:t xml:space="preserve"> </w:t>
      </w:r>
      <w:r w:rsidRPr="00514609">
        <w:t xml:space="preserve"> </w:t>
      </w:r>
    </w:p>
    <w:p w:rsidR="00EC673A" w:rsidRDefault="00EC673A" w:rsidP="00EC673A">
      <w:pPr>
        <w:spacing w:line="276" w:lineRule="auto"/>
        <w:jc w:val="both"/>
      </w:pPr>
    </w:p>
    <w:p w:rsidR="00EC673A" w:rsidRDefault="00EC673A" w:rsidP="00EC673A">
      <w:pPr>
        <w:spacing w:line="276" w:lineRule="auto"/>
        <w:jc w:val="both"/>
      </w:pPr>
      <w:r w:rsidRPr="00514609">
        <w:t>HRA</w:t>
      </w:r>
      <w:r w:rsidRPr="00514609">
        <w:tab/>
        <w:t>Guidance</w:t>
      </w:r>
      <w:r w:rsidRPr="00514609">
        <w:tab/>
      </w:r>
      <w:hyperlink r:id="rId21">
        <w:r w:rsidRPr="00514609">
          <w:t>http://www.hra.nhs.uk/research-community/during-your-research-</w:t>
        </w:r>
      </w:hyperlink>
      <w:r w:rsidRPr="00514609">
        <w:t xml:space="preserve"> project/amendments/</w:t>
      </w:r>
    </w:p>
    <w:p w:rsidR="009F36DC" w:rsidRPr="00514609" w:rsidRDefault="009F36DC" w:rsidP="00514609">
      <w:pPr>
        <w:spacing w:line="276" w:lineRule="auto"/>
        <w:jc w:val="both"/>
      </w:pPr>
    </w:p>
    <w:p w:rsidR="00EC673A" w:rsidRDefault="00EC673A" w:rsidP="00EC673A">
      <w:pPr>
        <w:spacing w:line="276" w:lineRule="auto"/>
        <w:jc w:val="both"/>
      </w:pPr>
      <w:r>
        <w:t xml:space="preserve">NHS RECs - </w:t>
      </w:r>
      <w:r w:rsidRPr="00514609">
        <w:t>https://www.hra.nhs.uk/about-us/committees-and-services/res-and-recs/search-research-ethics-committees/</w:t>
      </w:r>
    </w:p>
    <w:p w:rsidR="00EC673A" w:rsidRDefault="00EC673A" w:rsidP="00514609">
      <w:pPr>
        <w:spacing w:line="276" w:lineRule="auto"/>
        <w:jc w:val="both"/>
      </w:pPr>
    </w:p>
    <w:p w:rsidR="005478D4" w:rsidRPr="00EC673A" w:rsidRDefault="00B37438" w:rsidP="00EC673A">
      <w:pPr>
        <w:spacing w:line="276" w:lineRule="auto"/>
        <w:jc w:val="both"/>
      </w:pPr>
      <w:r w:rsidRPr="00514609">
        <w:t xml:space="preserve">UK Policy Framework for Health and Social Care Research (v3.2 10th October 2017) </w:t>
      </w:r>
      <w:hyperlink r:id="rId22">
        <w:r w:rsidRPr="00514609">
          <w:t>http://beta.hra.nhs.uk/planning-and-improving-research/policies-standards-legislation/uk-policy-</w:t>
        </w:r>
      </w:hyperlink>
      <w:r w:rsidRPr="00514609">
        <w:t xml:space="preserve"> framework-health-social-care-research/</w:t>
      </w:r>
    </w:p>
    <w:p w:rsidR="009F36DC" w:rsidRPr="00E160D9" w:rsidRDefault="00B37438" w:rsidP="00E160D9">
      <w:pPr>
        <w:pStyle w:val="Heading1"/>
        <w:spacing w:before="360"/>
        <w:ind w:left="425" w:hanging="357"/>
      </w:pPr>
      <w:bookmarkStart w:id="21" w:name="_TOC_250000"/>
      <w:bookmarkStart w:id="22" w:name="_Toc530142125"/>
      <w:r>
        <w:t>Monitoring and</w:t>
      </w:r>
      <w:r w:rsidRPr="007304D8">
        <w:t xml:space="preserve"> </w:t>
      </w:r>
      <w:bookmarkEnd w:id="21"/>
      <w:r>
        <w:t>Audit</w:t>
      </w:r>
      <w:bookmarkEnd w:id="22"/>
    </w:p>
    <w:p w:rsidR="009F36DC" w:rsidRPr="00F81842" w:rsidRDefault="00F81842" w:rsidP="00F81842">
      <w:pPr>
        <w:pStyle w:val="BodyText"/>
        <w:jc w:val="both"/>
      </w:pPr>
      <w:r w:rsidRPr="00D504CA">
        <w:t>Compliance with this SOP will be audited periodically as part of the LJMU REG audit plan.</w:t>
      </w:r>
    </w:p>
    <w:p w:rsidR="00F81842" w:rsidRPr="00B35C71" w:rsidRDefault="00F81842" w:rsidP="00F81842">
      <w:pPr>
        <w:pStyle w:val="Heading1"/>
        <w:spacing w:before="360"/>
        <w:ind w:left="425" w:hanging="357"/>
      </w:pPr>
      <w:bookmarkStart w:id="23" w:name="_Toc530142126"/>
      <w:r w:rsidRPr="00B35C71">
        <w:t>Change History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558"/>
        <w:gridCol w:w="4672"/>
        <w:gridCol w:w="2132"/>
      </w:tblGrid>
      <w:tr w:rsidR="00F81842" w:rsidRPr="00F81842" w:rsidTr="0040713E">
        <w:tc>
          <w:tcPr>
            <w:tcW w:w="1271" w:type="dxa"/>
          </w:tcPr>
          <w:p w:rsidR="00F81842" w:rsidRPr="00F81842" w:rsidRDefault="00F81842" w:rsidP="0040713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="Arial"/>
                <w:sz w:val="22"/>
                <w:szCs w:val="22"/>
                <w:lang w:val="en-US"/>
              </w:rPr>
            </w:pPr>
            <w:r w:rsidRPr="00F81842">
              <w:rPr>
                <w:rFonts w:cs="Arial"/>
                <w:sz w:val="22"/>
                <w:szCs w:val="22"/>
                <w:lang w:val="en-US"/>
              </w:rPr>
              <w:t>Version No.</w:t>
            </w:r>
          </w:p>
        </w:tc>
        <w:tc>
          <w:tcPr>
            <w:tcW w:w="1559" w:type="dxa"/>
          </w:tcPr>
          <w:p w:rsidR="00F81842" w:rsidRPr="00F81842" w:rsidRDefault="00F81842" w:rsidP="0040713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="Arial"/>
                <w:sz w:val="22"/>
                <w:szCs w:val="22"/>
                <w:lang w:val="en-US"/>
              </w:rPr>
            </w:pPr>
            <w:r w:rsidRPr="00F81842">
              <w:rPr>
                <w:rFonts w:cs="Arial"/>
                <w:sz w:val="22"/>
                <w:szCs w:val="22"/>
                <w:lang w:val="en-US"/>
              </w:rPr>
              <w:t>Effective date</w:t>
            </w:r>
          </w:p>
        </w:tc>
        <w:tc>
          <w:tcPr>
            <w:tcW w:w="4678" w:type="dxa"/>
          </w:tcPr>
          <w:p w:rsidR="00F81842" w:rsidRPr="00F81842" w:rsidRDefault="00F81842" w:rsidP="0040713E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ind w:right="-23"/>
              <w:rPr>
                <w:rFonts w:cs="Arial"/>
                <w:sz w:val="22"/>
                <w:szCs w:val="22"/>
                <w:lang w:val="en-US"/>
              </w:rPr>
            </w:pPr>
            <w:r w:rsidRPr="00F81842">
              <w:rPr>
                <w:rFonts w:cs="Arial"/>
                <w:sz w:val="22"/>
                <w:szCs w:val="22"/>
                <w:lang w:val="en-US"/>
              </w:rPr>
              <w:t>Significant changes</w:t>
            </w:r>
            <w:r w:rsidRPr="00F81842">
              <w:rPr>
                <w:rFonts w:cs="Arial"/>
                <w:sz w:val="22"/>
                <w:szCs w:val="22"/>
                <w:lang w:val="en-US"/>
              </w:rPr>
              <w:tab/>
            </w:r>
          </w:p>
        </w:tc>
        <w:tc>
          <w:tcPr>
            <w:tcW w:w="2134" w:type="dxa"/>
          </w:tcPr>
          <w:p w:rsidR="00F81842" w:rsidRPr="00F81842" w:rsidRDefault="00F81842" w:rsidP="0040713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="Arial"/>
                <w:sz w:val="22"/>
                <w:szCs w:val="22"/>
                <w:lang w:val="en-US"/>
              </w:rPr>
            </w:pPr>
            <w:r w:rsidRPr="00F81842">
              <w:rPr>
                <w:rFonts w:cs="Arial"/>
                <w:sz w:val="22"/>
                <w:szCs w:val="22"/>
                <w:lang w:val="en-US"/>
              </w:rPr>
              <w:t>Previous version No.</w:t>
            </w:r>
          </w:p>
        </w:tc>
      </w:tr>
      <w:tr w:rsidR="00F81842" w:rsidRPr="00F81842" w:rsidTr="0040713E">
        <w:tc>
          <w:tcPr>
            <w:tcW w:w="1271" w:type="dxa"/>
          </w:tcPr>
          <w:p w:rsidR="00F81842" w:rsidRPr="00F81842" w:rsidRDefault="00F81842" w:rsidP="0040713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F81842">
              <w:rPr>
                <w:rFonts w:cs="Arial"/>
                <w:sz w:val="22"/>
                <w:szCs w:val="22"/>
                <w:lang w:val="en-US"/>
              </w:rPr>
              <w:lastRenderedPageBreak/>
              <w:t>1.0</w:t>
            </w:r>
          </w:p>
        </w:tc>
        <w:tc>
          <w:tcPr>
            <w:tcW w:w="1559" w:type="dxa"/>
          </w:tcPr>
          <w:p w:rsidR="00F81842" w:rsidRPr="00F81842" w:rsidRDefault="00F81842" w:rsidP="0040713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F81842">
              <w:rPr>
                <w:rFonts w:cs="Arial"/>
                <w:sz w:val="22"/>
                <w:szCs w:val="22"/>
                <w:lang w:val="en-US"/>
              </w:rPr>
              <w:t>See page 1</w:t>
            </w:r>
          </w:p>
        </w:tc>
        <w:tc>
          <w:tcPr>
            <w:tcW w:w="4678" w:type="dxa"/>
          </w:tcPr>
          <w:p w:rsidR="00F81842" w:rsidRPr="00F81842" w:rsidRDefault="00F81842" w:rsidP="0040713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F81842">
              <w:rPr>
                <w:rFonts w:cs="Arial"/>
                <w:sz w:val="22"/>
                <w:szCs w:val="22"/>
                <w:lang w:val="en-US"/>
              </w:rPr>
              <w:t>This is the first version of this SOP</w:t>
            </w:r>
          </w:p>
        </w:tc>
        <w:tc>
          <w:tcPr>
            <w:tcW w:w="2134" w:type="dxa"/>
          </w:tcPr>
          <w:p w:rsidR="00F81842" w:rsidRPr="00F81842" w:rsidRDefault="00F81842" w:rsidP="0040713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F81842">
              <w:rPr>
                <w:rFonts w:cs="Arial"/>
                <w:sz w:val="22"/>
                <w:szCs w:val="22"/>
                <w:lang w:val="en-US"/>
              </w:rPr>
              <w:t>n/a</w:t>
            </w:r>
          </w:p>
        </w:tc>
      </w:tr>
    </w:tbl>
    <w:p w:rsidR="00F81842" w:rsidRPr="00F81842" w:rsidRDefault="00F81842" w:rsidP="00F81842">
      <w:pPr>
        <w:pStyle w:val="BodyText"/>
        <w:jc w:val="both"/>
      </w:pPr>
    </w:p>
    <w:p w:rsidR="009F36DC" w:rsidRPr="007304D8" w:rsidRDefault="009F36DC" w:rsidP="00F81842">
      <w:pPr>
        <w:pStyle w:val="BodyText"/>
        <w:jc w:val="both"/>
      </w:pPr>
    </w:p>
    <w:sectPr w:rsidR="009F36DC" w:rsidRPr="007304D8" w:rsidSect="007304D8">
      <w:footerReference w:type="default" r:id="rId23"/>
      <w:pgSz w:w="11910" w:h="16840" w:code="9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3C" w:rsidRDefault="00B37438">
      <w:r>
        <w:separator/>
      </w:r>
    </w:p>
  </w:endnote>
  <w:endnote w:type="continuationSeparator" w:id="0">
    <w:p w:rsidR="004B0C3C" w:rsidRDefault="00B3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C2" w:rsidRDefault="0040110E" w:rsidP="00704DC2">
    <w:pPr>
      <w:pStyle w:val="BodyText"/>
      <w:tabs>
        <w:tab w:val="right" w:pos="9639"/>
      </w:tabs>
      <w:spacing w:line="245" w:lineRule="exact"/>
      <w:ind w:left="20"/>
    </w:pPr>
    <w:r>
      <w:t>SOP009</w:t>
    </w:r>
    <w:r w:rsidR="00704DC2">
      <w:t xml:space="preserve"> LJMU </w:t>
    </w:r>
    <w:r w:rsidR="004F2E88">
      <w:t>Study</w:t>
    </w:r>
    <w:r w:rsidR="00704DC2">
      <w:t xml:space="preserve"> Amendments </w:t>
    </w:r>
    <w:r w:rsidR="000A005F">
      <w:t xml:space="preserve">(Clinical Research) DRAFT v0.1 </w:t>
    </w:r>
    <w:r w:rsidR="00EE498F">
      <w:t>20</w:t>
    </w:r>
    <w:r>
      <w:t>/11</w:t>
    </w:r>
    <w:r w:rsidR="00704DC2">
      <w:t>/18</w:t>
    </w:r>
    <w:r w:rsidR="00704DC2">
      <w:tab/>
    </w:r>
    <w:sdt>
      <w:sdtPr>
        <w:rPr>
          <w:rFonts w:cs="Arial"/>
          <w:sz w:val="19"/>
          <w:szCs w:val="19"/>
        </w:rPr>
        <w:id w:val="860082579"/>
        <w:docPartObj>
          <w:docPartGallery w:val="Page Numbers (Top of Page)"/>
          <w:docPartUnique/>
        </w:docPartObj>
      </w:sdtPr>
      <w:sdtEndPr/>
      <w:sdtContent>
        <w:r w:rsidR="00704DC2" w:rsidRPr="006E5839">
          <w:rPr>
            <w:rFonts w:cs="Arial"/>
          </w:rPr>
          <w:t xml:space="preserve">Page </w:t>
        </w:r>
        <w:r w:rsidR="00704DC2" w:rsidRPr="006E5839">
          <w:rPr>
            <w:rFonts w:cs="Arial"/>
            <w:b/>
            <w:bCs/>
          </w:rPr>
          <w:fldChar w:fldCharType="begin"/>
        </w:r>
        <w:r w:rsidR="00704DC2" w:rsidRPr="006E5839">
          <w:rPr>
            <w:rFonts w:cs="Arial"/>
            <w:b/>
            <w:bCs/>
          </w:rPr>
          <w:instrText xml:space="preserve"> PAGE </w:instrText>
        </w:r>
        <w:r w:rsidR="00704DC2" w:rsidRPr="006E5839">
          <w:rPr>
            <w:rFonts w:cs="Arial"/>
            <w:b/>
            <w:bCs/>
          </w:rPr>
          <w:fldChar w:fldCharType="separate"/>
        </w:r>
        <w:r w:rsidR="005210E3">
          <w:rPr>
            <w:rFonts w:cs="Arial"/>
            <w:b/>
            <w:bCs/>
            <w:noProof/>
          </w:rPr>
          <w:t>1</w:t>
        </w:r>
        <w:r w:rsidR="00704DC2" w:rsidRPr="006E5839">
          <w:rPr>
            <w:rFonts w:cs="Arial"/>
          </w:rPr>
          <w:fldChar w:fldCharType="end"/>
        </w:r>
        <w:r w:rsidR="00704DC2" w:rsidRPr="006E5839">
          <w:rPr>
            <w:rFonts w:cs="Arial"/>
          </w:rPr>
          <w:t xml:space="preserve"> of </w:t>
        </w:r>
        <w:r w:rsidR="00704DC2" w:rsidRPr="006E5839">
          <w:rPr>
            <w:rFonts w:cs="Arial"/>
            <w:b/>
            <w:bCs/>
          </w:rPr>
          <w:fldChar w:fldCharType="begin"/>
        </w:r>
        <w:r w:rsidR="00704DC2" w:rsidRPr="006E5839">
          <w:rPr>
            <w:rFonts w:cs="Arial"/>
            <w:b/>
            <w:bCs/>
          </w:rPr>
          <w:instrText xml:space="preserve"> NUMPAGES  </w:instrText>
        </w:r>
        <w:r w:rsidR="00704DC2" w:rsidRPr="006E5839">
          <w:rPr>
            <w:rFonts w:cs="Arial"/>
            <w:b/>
            <w:bCs/>
          </w:rPr>
          <w:fldChar w:fldCharType="separate"/>
        </w:r>
        <w:r w:rsidR="005210E3">
          <w:rPr>
            <w:rFonts w:cs="Arial"/>
            <w:b/>
            <w:bCs/>
            <w:noProof/>
          </w:rPr>
          <w:t>6</w:t>
        </w:r>
        <w:r w:rsidR="00704DC2" w:rsidRPr="006E5839">
          <w:rPr>
            <w:rFonts w:cs="Arial"/>
          </w:rPr>
          <w:fldChar w:fldCharType="end"/>
        </w:r>
      </w:sdtContent>
    </w:sdt>
  </w:p>
  <w:p w:rsidR="009F36DC" w:rsidRDefault="009F36D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3C" w:rsidRDefault="00B37438">
      <w:r>
        <w:separator/>
      </w:r>
    </w:p>
  </w:footnote>
  <w:footnote w:type="continuationSeparator" w:id="0">
    <w:p w:rsidR="004B0C3C" w:rsidRDefault="00B3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2"/>
    <w:multiLevelType w:val="hybridMultilevel"/>
    <w:tmpl w:val="75AA693E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" w15:restartNumberingAfterBreak="0">
    <w:nsid w:val="051525D6"/>
    <w:multiLevelType w:val="multilevel"/>
    <w:tmpl w:val="06E62132"/>
    <w:lvl w:ilvl="0">
      <w:start w:val="1"/>
      <w:numFmt w:val="decimal"/>
      <w:lvlText w:val="%1."/>
      <w:lvlJc w:val="left"/>
      <w:pPr>
        <w:ind w:left="594" w:hanging="442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30" w:hanging="65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029" w:hanging="657"/>
      </w:pPr>
      <w:rPr>
        <w:rFonts w:hint="default"/>
      </w:rPr>
    </w:lvl>
    <w:lvl w:ilvl="3">
      <w:numFmt w:val="bullet"/>
      <w:lvlText w:val="•"/>
      <w:lvlJc w:val="left"/>
      <w:pPr>
        <w:ind w:left="3018" w:hanging="657"/>
      </w:pPr>
      <w:rPr>
        <w:rFonts w:hint="default"/>
      </w:rPr>
    </w:lvl>
    <w:lvl w:ilvl="4">
      <w:numFmt w:val="bullet"/>
      <w:lvlText w:val="•"/>
      <w:lvlJc w:val="left"/>
      <w:pPr>
        <w:ind w:left="4008" w:hanging="657"/>
      </w:pPr>
      <w:rPr>
        <w:rFonts w:hint="default"/>
      </w:rPr>
    </w:lvl>
    <w:lvl w:ilvl="5">
      <w:numFmt w:val="bullet"/>
      <w:lvlText w:val="•"/>
      <w:lvlJc w:val="left"/>
      <w:pPr>
        <w:ind w:left="4997" w:hanging="657"/>
      </w:pPr>
      <w:rPr>
        <w:rFonts w:hint="default"/>
      </w:rPr>
    </w:lvl>
    <w:lvl w:ilvl="6">
      <w:numFmt w:val="bullet"/>
      <w:lvlText w:val="•"/>
      <w:lvlJc w:val="left"/>
      <w:pPr>
        <w:ind w:left="5986" w:hanging="657"/>
      </w:pPr>
      <w:rPr>
        <w:rFonts w:hint="default"/>
      </w:rPr>
    </w:lvl>
    <w:lvl w:ilvl="7">
      <w:numFmt w:val="bullet"/>
      <w:lvlText w:val="•"/>
      <w:lvlJc w:val="left"/>
      <w:pPr>
        <w:ind w:left="6976" w:hanging="657"/>
      </w:pPr>
      <w:rPr>
        <w:rFonts w:hint="default"/>
      </w:rPr>
    </w:lvl>
    <w:lvl w:ilvl="8">
      <w:numFmt w:val="bullet"/>
      <w:lvlText w:val="•"/>
      <w:lvlJc w:val="left"/>
      <w:pPr>
        <w:ind w:left="7965" w:hanging="657"/>
      </w:pPr>
      <w:rPr>
        <w:rFonts w:hint="default"/>
      </w:rPr>
    </w:lvl>
  </w:abstractNum>
  <w:abstractNum w:abstractNumId="2" w15:restartNumberingAfterBreak="0">
    <w:nsid w:val="0DF81645"/>
    <w:multiLevelType w:val="hybridMultilevel"/>
    <w:tmpl w:val="03B6B52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0F235BD2"/>
    <w:multiLevelType w:val="multilevel"/>
    <w:tmpl w:val="BEF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02A22"/>
    <w:multiLevelType w:val="multilevel"/>
    <w:tmpl w:val="4A3A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82399"/>
    <w:multiLevelType w:val="multilevel"/>
    <w:tmpl w:val="C128A1E0"/>
    <w:lvl w:ilvl="0">
      <w:start w:val="1"/>
      <w:numFmt w:val="decimal"/>
      <w:lvlText w:val="%1."/>
      <w:lvlJc w:val="left"/>
      <w:pPr>
        <w:ind w:left="872" w:hanging="36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592" w:hanging="720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</w:rPr>
    </w:lvl>
    <w:lvl w:ilvl="2">
      <w:numFmt w:val="bullet"/>
      <w:lvlText w:val=""/>
      <w:lvlJc w:val="left"/>
      <w:pPr>
        <w:ind w:left="15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454" w:hanging="360"/>
      </w:pPr>
      <w:rPr>
        <w:rFonts w:hint="default"/>
      </w:rPr>
    </w:lvl>
    <w:lvl w:ilvl="4">
      <w:numFmt w:val="bullet"/>
      <w:lvlText w:val="•"/>
      <w:lvlJc w:val="left"/>
      <w:pPr>
        <w:ind w:left="4381" w:hanging="360"/>
      </w:pPr>
      <w:rPr>
        <w:rFonts w:hint="default"/>
      </w:rPr>
    </w:lvl>
    <w:lvl w:ilvl="5">
      <w:numFmt w:val="bullet"/>
      <w:lvlText w:val="•"/>
      <w:lvlJc w:val="left"/>
      <w:pPr>
        <w:ind w:left="5308" w:hanging="360"/>
      </w:pPr>
      <w:rPr>
        <w:rFonts w:hint="default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</w:rPr>
    </w:lvl>
    <w:lvl w:ilvl="7">
      <w:numFmt w:val="bullet"/>
      <w:lvlText w:val="•"/>
      <w:lvlJc w:val="left"/>
      <w:pPr>
        <w:ind w:left="7162" w:hanging="360"/>
      </w:pPr>
      <w:rPr>
        <w:rFonts w:hint="default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</w:rPr>
    </w:lvl>
  </w:abstractNum>
  <w:abstractNum w:abstractNumId="6" w15:restartNumberingAfterBreak="0">
    <w:nsid w:val="24FE4BB7"/>
    <w:multiLevelType w:val="hybridMultilevel"/>
    <w:tmpl w:val="0502882E"/>
    <w:lvl w:ilvl="0" w:tplc="141A8FAC">
      <w:start w:val="1"/>
      <w:numFmt w:val="decimal"/>
      <w:pStyle w:val="Heading1"/>
      <w:lvlText w:val="%1."/>
      <w:lvlJc w:val="left"/>
      <w:pPr>
        <w:ind w:left="1232" w:hanging="360"/>
      </w:p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" w15:restartNumberingAfterBreak="0">
    <w:nsid w:val="40BE6DEA"/>
    <w:multiLevelType w:val="hybridMultilevel"/>
    <w:tmpl w:val="CD4ED3D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45E93154"/>
    <w:multiLevelType w:val="multilevel"/>
    <w:tmpl w:val="40CE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8048D"/>
    <w:multiLevelType w:val="hybridMultilevel"/>
    <w:tmpl w:val="79F4E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3621C"/>
    <w:multiLevelType w:val="hybridMultilevel"/>
    <w:tmpl w:val="3050E442"/>
    <w:lvl w:ilvl="0" w:tplc="5FA004F8">
      <w:numFmt w:val="bullet"/>
      <w:lvlText w:val=""/>
      <w:lvlJc w:val="left"/>
      <w:pPr>
        <w:ind w:left="15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5036AC">
      <w:numFmt w:val="bullet"/>
      <w:lvlText w:val="•"/>
      <w:lvlJc w:val="left"/>
      <w:pPr>
        <w:ind w:left="2434" w:hanging="360"/>
      </w:pPr>
      <w:rPr>
        <w:rFonts w:hint="default"/>
      </w:rPr>
    </w:lvl>
    <w:lvl w:ilvl="2" w:tplc="EAC2CA12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CEB46094">
      <w:numFmt w:val="bullet"/>
      <w:lvlText w:val="•"/>
      <w:lvlJc w:val="left"/>
      <w:pPr>
        <w:ind w:left="4103" w:hanging="360"/>
      </w:pPr>
      <w:rPr>
        <w:rFonts w:hint="default"/>
      </w:rPr>
    </w:lvl>
    <w:lvl w:ilvl="4" w:tplc="9768DED0">
      <w:numFmt w:val="bullet"/>
      <w:lvlText w:val="•"/>
      <w:lvlJc w:val="left"/>
      <w:pPr>
        <w:ind w:left="4937" w:hanging="360"/>
      </w:pPr>
      <w:rPr>
        <w:rFonts w:hint="default"/>
      </w:rPr>
    </w:lvl>
    <w:lvl w:ilvl="5" w:tplc="90BAC5E0"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98B26864"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2566228A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6E9499A6"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11" w15:restartNumberingAfterBreak="0">
    <w:nsid w:val="692B752D"/>
    <w:multiLevelType w:val="hybridMultilevel"/>
    <w:tmpl w:val="16CCEB46"/>
    <w:lvl w:ilvl="0" w:tplc="31528E0C">
      <w:start w:val="1"/>
      <w:numFmt w:val="decimal"/>
      <w:pStyle w:val="Heading2"/>
      <w:lvlText w:val="3.%1."/>
      <w:lvlJc w:val="left"/>
      <w:pPr>
        <w:ind w:left="15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3" w:hanging="360"/>
      </w:pPr>
    </w:lvl>
    <w:lvl w:ilvl="2" w:tplc="0809001B" w:tentative="1">
      <w:start w:val="1"/>
      <w:numFmt w:val="lowerRoman"/>
      <w:lvlText w:val="%3."/>
      <w:lvlJc w:val="right"/>
      <w:pPr>
        <w:ind w:left="2993" w:hanging="180"/>
      </w:pPr>
    </w:lvl>
    <w:lvl w:ilvl="3" w:tplc="0809000F" w:tentative="1">
      <w:start w:val="1"/>
      <w:numFmt w:val="decimal"/>
      <w:lvlText w:val="%4."/>
      <w:lvlJc w:val="left"/>
      <w:pPr>
        <w:ind w:left="3713" w:hanging="360"/>
      </w:pPr>
    </w:lvl>
    <w:lvl w:ilvl="4" w:tplc="08090019" w:tentative="1">
      <w:start w:val="1"/>
      <w:numFmt w:val="lowerLetter"/>
      <w:lvlText w:val="%5."/>
      <w:lvlJc w:val="left"/>
      <w:pPr>
        <w:ind w:left="4433" w:hanging="360"/>
      </w:pPr>
    </w:lvl>
    <w:lvl w:ilvl="5" w:tplc="0809001B" w:tentative="1">
      <w:start w:val="1"/>
      <w:numFmt w:val="lowerRoman"/>
      <w:lvlText w:val="%6."/>
      <w:lvlJc w:val="right"/>
      <w:pPr>
        <w:ind w:left="5153" w:hanging="180"/>
      </w:pPr>
    </w:lvl>
    <w:lvl w:ilvl="6" w:tplc="0809000F" w:tentative="1">
      <w:start w:val="1"/>
      <w:numFmt w:val="decimal"/>
      <w:lvlText w:val="%7."/>
      <w:lvlJc w:val="left"/>
      <w:pPr>
        <w:ind w:left="5873" w:hanging="360"/>
      </w:pPr>
    </w:lvl>
    <w:lvl w:ilvl="7" w:tplc="08090019" w:tentative="1">
      <w:start w:val="1"/>
      <w:numFmt w:val="lowerLetter"/>
      <w:lvlText w:val="%8."/>
      <w:lvlJc w:val="left"/>
      <w:pPr>
        <w:ind w:left="6593" w:hanging="360"/>
      </w:pPr>
    </w:lvl>
    <w:lvl w:ilvl="8" w:tplc="08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2" w15:restartNumberingAfterBreak="0">
    <w:nsid w:val="73AF5ED3"/>
    <w:multiLevelType w:val="multilevel"/>
    <w:tmpl w:val="028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11"/>
  </w:num>
  <w:num w:numId="17">
    <w:abstractNumId w:val="11"/>
  </w:num>
  <w:num w:numId="18">
    <w:abstractNumId w:val="6"/>
  </w:num>
  <w:num w:numId="19">
    <w:abstractNumId w:val="6"/>
  </w:num>
  <w:num w:numId="20">
    <w:abstractNumId w:val="6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DC"/>
    <w:rsid w:val="0002221D"/>
    <w:rsid w:val="00035A16"/>
    <w:rsid w:val="000A005F"/>
    <w:rsid w:val="000F1E22"/>
    <w:rsid w:val="00355740"/>
    <w:rsid w:val="003663F6"/>
    <w:rsid w:val="0040110E"/>
    <w:rsid w:val="00451B75"/>
    <w:rsid w:val="00473D18"/>
    <w:rsid w:val="004B0C3C"/>
    <w:rsid w:val="004F2E88"/>
    <w:rsid w:val="00514609"/>
    <w:rsid w:val="005210E3"/>
    <w:rsid w:val="005478D4"/>
    <w:rsid w:val="0055387E"/>
    <w:rsid w:val="00637AFB"/>
    <w:rsid w:val="00704DC2"/>
    <w:rsid w:val="007304D8"/>
    <w:rsid w:val="00803A11"/>
    <w:rsid w:val="008F1087"/>
    <w:rsid w:val="0091554F"/>
    <w:rsid w:val="009B4C05"/>
    <w:rsid w:val="009D6518"/>
    <w:rsid w:val="009F36DC"/>
    <w:rsid w:val="00A74561"/>
    <w:rsid w:val="00B37438"/>
    <w:rsid w:val="00B44A36"/>
    <w:rsid w:val="00B707AB"/>
    <w:rsid w:val="00BA15B3"/>
    <w:rsid w:val="00C01C0E"/>
    <w:rsid w:val="00D1663B"/>
    <w:rsid w:val="00D730FE"/>
    <w:rsid w:val="00DA05FD"/>
    <w:rsid w:val="00E160D9"/>
    <w:rsid w:val="00E44ADF"/>
    <w:rsid w:val="00EC673A"/>
    <w:rsid w:val="00EE498F"/>
    <w:rsid w:val="00F72D72"/>
    <w:rsid w:val="00F81842"/>
    <w:rsid w:val="00F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6B87"/>
  <w15:docId w15:val="{22465BB4-B187-4D57-AC17-17A1A29A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rsid w:val="008F1087"/>
    <w:pPr>
      <w:numPr>
        <w:numId w:val="11"/>
      </w:numPr>
      <w:spacing w:before="240" w:after="120"/>
      <w:outlineLvl w:val="0"/>
    </w:pPr>
    <w:rPr>
      <w:b/>
      <w:bCs/>
      <w:szCs w:val="24"/>
    </w:rPr>
  </w:style>
  <w:style w:type="paragraph" w:styleId="Heading2">
    <w:name w:val="heading 2"/>
    <w:basedOn w:val="Normal"/>
    <w:uiPriority w:val="1"/>
    <w:qFormat/>
    <w:rsid w:val="008F1087"/>
    <w:pPr>
      <w:numPr>
        <w:numId w:val="16"/>
      </w:numPr>
      <w:spacing w:before="120" w:after="1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5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8"/>
      <w:ind w:left="594" w:hanging="442"/>
    </w:pPr>
  </w:style>
  <w:style w:type="paragraph" w:styleId="TOC2">
    <w:name w:val="toc 2"/>
    <w:basedOn w:val="Normal"/>
    <w:uiPriority w:val="39"/>
    <w:qFormat/>
    <w:pPr>
      <w:spacing w:before="139"/>
      <w:ind w:left="1030" w:hanging="657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38"/>
      <w:ind w:left="872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F72D7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5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0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5F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0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5FD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59"/>
    <w:rsid w:val="003663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663F6"/>
    <w:rPr>
      <w:rFonts w:ascii="Calibri" w:eastAsia="Calibri" w:hAnsi="Calibri" w:cs="Calibri"/>
      <w:lang w:val="en-GB"/>
    </w:rPr>
  </w:style>
  <w:style w:type="paragraph" w:customStyle="1" w:styleId="BodyText1">
    <w:name w:val="Body Text1"/>
    <w:basedOn w:val="BodyText"/>
    <w:link w:val="BodytextChar0"/>
    <w:uiPriority w:val="1"/>
    <w:qFormat/>
    <w:rsid w:val="00637AFB"/>
    <w:pPr>
      <w:jc w:val="both"/>
    </w:pPr>
  </w:style>
  <w:style w:type="character" w:customStyle="1" w:styleId="BodytextChar0">
    <w:name w:val="Body text Char"/>
    <w:basedOn w:val="BodyTextChar"/>
    <w:link w:val="BodyText1"/>
    <w:uiPriority w:val="1"/>
    <w:rsid w:val="00637AFB"/>
    <w:rPr>
      <w:rFonts w:ascii="Calibri" w:eastAsia="Calibri" w:hAnsi="Calibri" w:cs="Calibri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81842"/>
    <w:pPr>
      <w:keepNext/>
      <w:keepLines/>
      <w:widowControl/>
      <w:numPr>
        <w:numId w:val="0"/>
      </w:numPr>
      <w:autoSpaceDE/>
      <w:autoSpaceDN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4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a.amendments@nhs.net" TargetMode="External"/><Relationship Id="rId18" Type="http://schemas.openxmlformats.org/officeDocument/2006/relationships/hyperlink" Target="https://www.hra.nhs.uk/documents/1326/Template_email_to_share_category_C_amendment_docs_with_site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ra.nhs.uk/research-community/during-your-research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ra.nhs.uk/documents/1327/notification-non-substantialminor-amendmentss-nhs-studies.docx" TargetMode="External"/><Relationship Id="rId17" Type="http://schemas.openxmlformats.org/officeDocument/2006/relationships/hyperlink" Target="https://www.hra.nhs.uk/documents/1322/Template_email_to_share_category_A_or_B_amendment_-_approvals_in_place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ra.nhs.uk/documents/1320/Template_email_to_share_category_A_or_B_amendment_-_approvals_are_outstanding.docx" TargetMode="External"/><Relationship Id="rId20" Type="http://schemas.openxmlformats.org/officeDocument/2006/relationships/hyperlink" Target="https://www.hra.nhs.uk/approvals-amendments/amending-approval/examples-of-substantial-and-non-substantial-amendm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a.nhs.uk/about-us/committees-and-services/res-and-recs/search-research-ethics-committe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yresearchproject.org.uk/help/hlpamendmentsresearch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hra.nhs.uk/approvals-amendments/amending-approval/examples-of-substantial-and-non-substantial-amendments/" TargetMode="External"/><Relationship Id="rId19" Type="http://schemas.openxmlformats.org/officeDocument/2006/relationships/hyperlink" Target="https://www.hra.nhs.uk/documents/1319/Template_email_to_confirm_implementation_of_an_amendme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nsor@ljmu.ac.uk" TargetMode="External"/><Relationship Id="rId14" Type="http://schemas.openxmlformats.org/officeDocument/2006/relationships/hyperlink" Target="http://www.myresearchproject.org.uk/help/hlpamendmentsresearch.aspx" TargetMode="External"/><Relationship Id="rId22" Type="http://schemas.openxmlformats.org/officeDocument/2006/relationships/hyperlink" Target="http://beta.hra.nhs.uk/planning-and-improving-research/policies-standards-legislation/uk-poli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466E-A11A-45FB-B6BB-0BA6116A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Harriss, Dave</dc:creator>
  <cp:lastModifiedBy>Harriss, Dave</cp:lastModifiedBy>
  <cp:revision>25</cp:revision>
  <dcterms:created xsi:type="dcterms:W3CDTF">2018-10-10T11:22:00Z</dcterms:created>
  <dcterms:modified xsi:type="dcterms:W3CDTF">2019-04-04T09:00:00Z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LastSaved">
    <vt:filetime>2018-09-12T00:00:00Z</vt:filetime>
  </property>
</Properties>
</file>